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5C499" w14:textId="77777777" w:rsidR="00727CC1" w:rsidRDefault="00727CC1"/>
    <w:tbl>
      <w:tblPr>
        <w:tblpPr w:leftFromText="180" w:rightFromText="180" w:vertAnchor="page" w:horzAnchor="margin" w:tblpXSpec="center" w:tblpY="1501"/>
        <w:tblW w:w="11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9670"/>
        <w:gridCol w:w="1373"/>
      </w:tblGrid>
      <w:tr w:rsidR="00727CC1" w:rsidRPr="00727CC1" w14:paraId="0415CD99" w14:textId="77777777" w:rsidTr="0048078C">
        <w:tc>
          <w:tcPr>
            <w:tcW w:w="10165" w:type="dxa"/>
            <w:gridSpan w:val="2"/>
            <w:tcBorders>
              <w:bottom w:val="single" w:sz="4" w:space="0" w:color="auto"/>
            </w:tcBorders>
            <w:shd w:val="clear" w:color="auto" w:fill="0C0C0C"/>
          </w:tcPr>
          <w:p w14:paraId="3FE3F2E1" w14:textId="38FB9368" w:rsidR="00727CC1" w:rsidRPr="00F56100" w:rsidRDefault="00693EBB" w:rsidP="00724C4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Respiratory/COVID</w:t>
            </w:r>
            <w:r w:rsidR="00E452DB">
              <w:rPr>
                <w:rFonts w:ascii="Arial" w:hAnsi="Arial" w:cs="Arial"/>
                <w:b/>
              </w:rPr>
              <w:t>-19</w:t>
            </w:r>
            <w:r>
              <w:rPr>
                <w:rFonts w:ascii="Arial" w:hAnsi="Arial" w:cs="Arial"/>
                <w:b/>
              </w:rPr>
              <w:t xml:space="preserve"> Management Checklist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0C0C0C"/>
          </w:tcPr>
          <w:p w14:paraId="26E97EA7" w14:textId="77777777" w:rsidR="00727CC1" w:rsidRPr="00727CC1" w:rsidRDefault="00727CC1" w:rsidP="00727CC1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7CC1">
              <w:rPr>
                <w:rFonts w:ascii="Arial" w:hAnsi="Arial" w:cs="Arial"/>
                <w:b/>
                <w:sz w:val="20"/>
                <w:szCs w:val="20"/>
              </w:rPr>
              <w:t>Date Initiated</w:t>
            </w:r>
          </w:p>
          <w:p w14:paraId="66AC8922" w14:textId="77777777" w:rsidR="00727CC1" w:rsidRPr="00727CC1" w:rsidRDefault="00727CC1" w:rsidP="00727CC1">
            <w:pPr>
              <w:spacing w:after="60"/>
              <w:jc w:val="center"/>
              <w:rPr>
                <w:rFonts w:ascii="Arial" w:hAnsi="Arial" w:cs="Arial"/>
                <w:b/>
                <w:color w:val="C0C0C0"/>
                <w:sz w:val="20"/>
                <w:szCs w:val="20"/>
              </w:rPr>
            </w:pPr>
            <w:proofErr w:type="spellStart"/>
            <w:r w:rsidRPr="00727CC1">
              <w:rPr>
                <w:rFonts w:ascii="Arial" w:hAnsi="Arial" w:cs="Arial"/>
                <w:b/>
                <w:color w:val="C0C0C0"/>
                <w:sz w:val="20"/>
                <w:szCs w:val="20"/>
              </w:rPr>
              <w:t>yyyy</w:t>
            </w:r>
            <w:proofErr w:type="spellEnd"/>
            <w:r w:rsidRPr="00727CC1">
              <w:rPr>
                <w:rFonts w:ascii="Arial" w:hAnsi="Arial" w:cs="Arial"/>
                <w:b/>
                <w:color w:val="C0C0C0"/>
                <w:sz w:val="20"/>
                <w:szCs w:val="20"/>
              </w:rPr>
              <w:t>/mm/dd</w:t>
            </w:r>
          </w:p>
        </w:tc>
      </w:tr>
      <w:tr w:rsidR="00727CC1" w:rsidRPr="00727CC1" w14:paraId="3FE7AA59" w14:textId="77777777" w:rsidTr="0048078C"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7D1DCE" w14:textId="77777777" w:rsidR="00727CC1" w:rsidRPr="003239E7" w:rsidRDefault="00727CC1" w:rsidP="00727CC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239E7">
              <w:rPr>
                <w:rFonts w:ascii="Arial" w:hAnsi="Arial" w:cs="Arial"/>
                <w:sz w:val="18"/>
                <w:szCs w:val="18"/>
              </w:rPr>
              <w:t>1</w:t>
            </w:r>
            <w:r w:rsidR="00385BDB" w:rsidRPr="003239E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67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1ED3CA9" w14:textId="473E1D51" w:rsidR="00727CC1" w:rsidRPr="002F76C0" w:rsidRDefault="00727CC1" w:rsidP="00727CC1">
            <w:pPr>
              <w:spacing w:before="60"/>
              <w:rPr>
                <w:rFonts w:ascii="Arial" w:hAnsi="Arial" w:cs="Arial"/>
                <w:sz w:val="18"/>
                <w:szCs w:val="18"/>
                <w:lang w:val="en-CA" w:eastAsia="en-CA"/>
              </w:rPr>
            </w:pPr>
            <w:r w:rsidRPr="003239E7">
              <w:rPr>
                <w:rFonts w:ascii="Arial" w:hAnsi="Arial" w:cs="Arial"/>
                <w:sz w:val="18"/>
                <w:szCs w:val="18"/>
                <w:lang w:val="en-CA" w:eastAsia="en-CA"/>
              </w:rPr>
              <w:t>Development of working case definition</w:t>
            </w:r>
            <w:r w:rsidRPr="00460605">
              <w:rPr>
                <w:rFonts w:ascii="Arial" w:hAnsi="Arial" w:cs="Arial"/>
                <w:sz w:val="18"/>
                <w:szCs w:val="18"/>
                <w:lang w:val="en-CA" w:eastAsia="en-CA"/>
              </w:rPr>
              <w:t xml:space="preserve">: </w:t>
            </w:r>
            <w:r w:rsidR="00D840AB" w:rsidRPr="00460605">
              <w:rPr>
                <w:rFonts w:ascii="Arial" w:hAnsi="Arial" w:cs="Arial"/>
                <w:i/>
                <w:sz w:val="18"/>
                <w:szCs w:val="18"/>
              </w:rPr>
              <w:t>Any staff or (resident</w:t>
            </w:r>
            <w:r w:rsidR="00002771" w:rsidRPr="00460605">
              <w:rPr>
                <w:rFonts w:ascii="Arial" w:hAnsi="Arial" w:cs="Arial"/>
                <w:i/>
                <w:sz w:val="18"/>
                <w:szCs w:val="18"/>
              </w:rPr>
              <w:t>/</w:t>
            </w:r>
            <w:r w:rsidR="00D840AB" w:rsidRPr="00460605">
              <w:rPr>
                <w:rFonts w:ascii="Arial" w:hAnsi="Arial" w:cs="Arial"/>
                <w:i/>
                <w:sz w:val="18"/>
                <w:szCs w:val="18"/>
              </w:rPr>
              <w:t>patient) of (unit/roo</w:t>
            </w:r>
            <w:r w:rsidR="00002771" w:rsidRPr="00460605">
              <w:rPr>
                <w:rFonts w:ascii="Arial" w:hAnsi="Arial" w:cs="Arial"/>
                <w:i/>
                <w:sz w:val="18"/>
                <w:szCs w:val="18"/>
              </w:rPr>
              <w:t xml:space="preserve">m </w:t>
            </w:r>
            <w:r w:rsidR="00D840AB" w:rsidRPr="00460605">
              <w:rPr>
                <w:rFonts w:ascii="Arial" w:hAnsi="Arial" w:cs="Arial"/>
                <w:i/>
                <w:sz w:val="18"/>
                <w:szCs w:val="18"/>
                <w:u w:val="single"/>
              </w:rPr>
              <w:t>or</w:t>
            </w:r>
            <w:r w:rsidR="00D840AB" w:rsidRPr="00460605">
              <w:rPr>
                <w:rFonts w:ascii="Arial" w:hAnsi="Arial" w:cs="Arial"/>
                <w:i/>
                <w:sz w:val="18"/>
                <w:szCs w:val="18"/>
              </w:rPr>
              <w:t xml:space="preserve"> delete) at </w:t>
            </w:r>
            <w:r w:rsidR="00E5274E" w:rsidRPr="00460605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D840AB" w:rsidRPr="00460605">
              <w:rPr>
                <w:rFonts w:ascii="Arial" w:hAnsi="Arial" w:cs="Arial"/>
                <w:i/>
                <w:sz w:val="18"/>
                <w:szCs w:val="18"/>
              </w:rPr>
              <w:t xml:space="preserve">facility name) with a laboratory confirmation of </w:t>
            </w:r>
            <w:r w:rsidR="00002771" w:rsidRPr="00460605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9970C3" w:rsidRPr="00460605">
              <w:rPr>
                <w:rFonts w:ascii="Arial" w:hAnsi="Arial" w:cs="Arial"/>
                <w:i/>
                <w:sz w:val="18"/>
                <w:szCs w:val="18"/>
              </w:rPr>
              <w:t xml:space="preserve">a respiratory virus </w:t>
            </w:r>
            <w:r w:rsidR="00E5274E" w:rsidRPr="00460605">
              <w:rPr>
                <w:rFonts w:ascii="Arial" w:hAnsi="Arial" w:cs="Arial"/>
                <w:i/>
                <w:sz w:val="18"/>
                <w:szCs w:val="18"/>
                <w:u w:val="single"/>
              </w:rPr>
              <w:t>or</w:t>
            </w:r>
            <w:r w:rsidR="00E5274E" w:rsidRPr="0046060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D840AB" w:rsidRPr="00460605">
              <w:rPr>
                <w:rFonts w:ascii="Arial" w:hAnsi="Arial" w:cs="Arial"/>
                <w:i/>
                <w:sz w:val="18"/>
                <w:szCs w:val="18"/>
              </w:rPr>
              <w:t>SARS-CoV-2</w:t>
            </w:r>
            <w:r w:rsidR="00002771" w:rsidRPr="00460605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D840AB" w:rsidRPr="00460605">
              <w:rPr>
                <w:rFonts w:ascii="Arial" w:hAnsi="Arial" w:cs="Arial"/>
                <w:i/>
                <w:sz w:val="18"/>
                <w:szCs w:val="18"/>
              </w:rPr>
              <w:t xml:space="preserve"> OR presenting with</w:t>
            </w:r>
            <w:r w:rsidR="00E5274E" w:rsidRPr="0046060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002771" w:rsidRPr="00460605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9970C3" w:rsidRPr="00460605">
              <w:rPr>
                <w:rFonts w:ascii="Arial" w:hAnsi="Arial" w:cs="Arial"/>
                <w:i/>
                <w:sz w:val="18"/>
                <w:szCs w:val="18"/>
              </w:rPr>
              <w:t xml:space="preserve">acute respiratory symptoms </w:t>
            </w:r>
            <w:r w:rsidR="009970C3" w:rsidRPr="00460605">
              <w:rPr>
                <w:rFonts w:ascii="Arial" w:hAnsi="Arial" w:cs="Arial"/>
                <w:i/>
                <w:sz w:val="18"/>
                <w:szCs w:val="18"/>
                <w:u w:val="single"/>
              </w:rPr>
              <w:t>or</w:t>
            </w:r>
            <w:r w:rsidR="009970C3" w:rsidRPr="0046060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D840AB" w:rsidRPr="00460605">
              <w:rPr>
                <w:rFonts w:ascii="Arial" w:hAnsi="Arial" w:cs="Arial"/>
                <w:i/>
                <w:sz w:val="18"/>
                <w:szCs w:val="18"/>
              </w:rPr>
              <w:t>symptoms compatible with COVID-19</w:t>
            </w:r>
            <w:r w:rsidR="00002771" w:rsidRPr="00460605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D840AB" w:rsidRPr="00460605">
              <w:rPr>
                <w:rFonts w:ascii="Arial" w:hAnsi="Arial" w:cs="Arial"/>
                <w:i/>
                <w:sz w:val="18"/>
                <w:szCs w:val="18"/>
              </w:rPr>
              <w:t xml:space="preserve"> on or after (date),</w:t>
            </w:r>
            <w:r w:rsidR="00460605" w:rsidRPr="0046060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D840AB" w:rsidRPr="00460605">
              <w:rPr>
                <w:rFonts w:ascii="Arial" w:hAnsi="Arial" w:cs="Arial"/>
                <w:i/>
                <w:sz w:val="18"/>
                <w:szCs w:val="18"/>
              </w:rPr>
              <w:t xml:space="preserve">but </w:t>
            </w:r>
            <w:r w:rsidR="00460605" w:rsidRPr="00460605">
              <w:rPr>
                <w:rFonts w:ascii="Arial" w:hAnsi="Arial" w:cs="Arial"/>
                <w:i/>
                <w:sz w:val="18"/>
                <w:szCs w:val="18"/>
              </w:rPr>
              <w:t xml:space="preserve">not </w:t>
            </w:r>
            <w:r w:rsidR="00D840AB" w:rsidRPr="00460605">
              <w:rPr>
                <w:rFonts w:ascii="Arial" w:hAnsi="Arial" w:cs="Arial"/>
                <w:i/>
                <w:sz w:val="18"/>
                <w:szCs w:val="18"/>
              </w:rPr>
              <w:t>tested.</w:t>
            </w:r>
          </w:p>
          <w:p w14:paraId="30B77AA4" w14:textId="7EB01810" w:rsidR="001F39F1" w:rsidRPr="00460605" w:rsidRDefault="00727CC1" w:rsidP="00460605">
            <w:pPr>
              <w:spacing w:before="120"/>
              <w:rPr>
                <w:rFonts w:ascii="Arial" w:hAnsi="Arial" w:cs="Arial"/>
                <w:sz w:val="18"/>
                <w:szCs w:val="18"/>
                <w:lang w:val="en-CA" w:eastAsia="en-CA"/>
              </w:rPr>
            </w:pPr>
            <w:r w:rsidRPr="003239E7">
              <w:rPr>
                <w:rFonts w:ascii="Arial" w:hAnsi="Arial" w:cs="Arial"/>
                <w:sz w:val="18"/>
                <w:szCs w:val="18"/>
                <w:lang w:val="en-CA" w:eastAsia="en-CA"/>
              </w:rPr>
              <w:t xml:space="preserve">Start </w:t>
            </w:r>
            <w:hyperlink r:id="rId8" w:history="1">
              <w:r w:rsidRPr="003239E7">
                <w:rPr>
                  <w:rStyle w:val="Hyperlink"/>
                  <w:rFonts w:ascii="Arial" w:hAnsi="Arial" w:cs="Arial"/>
                  <w:sz w:val="18"/>
                  <w:szCs w:val="18"/>
                  <w:lang w:val="en-CA" w:eastAsia="en-CA"/>
                </w:rPr>
                <w:t>Respiratory Line List</w:t>
              </w:r>
            </w:hyperlink>
            <w:r w:rsidRPr="003239E7">
              <w:rPr>
                <w:rFonts w:ascii="Arial" w:hAnsi="Arial" w:cs="Arial"/>
                <w:sz w:val="18"/>
                <w:szCs w:val="18"/>
                <w:lang w:val="en-CA" w:eastAsia="en-CA"/>
              </w:rPr>
              <w:t xml:space="preserve"> (separate lists for resident/patient and staff cases).</w:t>
            </w:r>
          </w:p>
        </w:tc>
        <w:tc>
          <w:tcPr>
            <w:tcW w:w="13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8B801" w14:textId="77777777" w:rsidR="00727CC1" w:rsidRPr="00727CC1" w:rsidRDefault="00727CC1" w:rsidP="00727C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CC1" w:rsidRPr="00727CC1" w14:paraId="7890910E" w14:textId="77777777" w:rsidTr="0048078C"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7EE3B6" w14:textId="77777777" w:rsidR="00727CC1" w:rsidRPr="003239E7" w:rsidRDefault="00727CC1" w:rsidP="00727CC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239E7">
              <w:rPr>
                <w:rFonts w:ascii="Arial" w:hAnsi="Arial" w:cs="Arial"/>
                <w:sz w:val="18"/>
                <w:szCs w:val="18"/>
              </w:rPr>
              <w:t>2</w:t>
            </w:r>
            <w:r w:rsidR="00385BDB" w:rsidRPr="003239E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67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FF28C9D" w14:textId="77777777" w:rsidR="00727CC1" w:rsidRPr="003239E7" w:rsidRDefault="00727CC1" w:rsidP="00727CC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239E7">
              <w:rPr>
                <w:rFonts w:ascii="Arial" w:hAnsi="Arial" w:cs="Arial"/>
                <w:sz w:val="18"/>
                <w:szCs w:val="18"/>
              </w:rPr>
              <w:t>Notify members of the facility’s Outbreak Management Team (OMT) including medical advisor.</w:t>
            </w:r>
          </w:p>
          <w:p w14:paraId="31551FF6" w14:textId="5D6BE2A2" w:rsidR="006A2B62" w:rsidRPr="003239E7" w:rsidRDefault="001F39F1" w:rsidP="00727CC1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239E7">
              <w:rPr>
                <w:rFonts w:ascii="Arial" w:hAnsi="Arial" w:cs="Arial"/>
                <w:sz w:val="18"/>
                <w:szCs w:val="18"/>
              </w:rPr>
              <w:t xml:space="preserve">Identify </w:t>
            </w:r>
            <w:r w:rsidR="00451C29">
              <w:rPr>
                <w:rFonts w:ascii="Arial" w:hAnsi="Arial" w:cs="Arial"/>
                <w:sz w:val="18"/>
                <w:szCs w:val="18"/>
              </w:rPr>
              <w:t xml:space="preserve">outbreak </w:t>
            </w:r>
            <w:r w:rsidR="006A2B62" w:rsidRPr="003239E7">
              <w:rPr>
                <w:rFonts w:ascii="Arial" w:hAnsi="Arial" w:cs="Arial"/>
                <w:sz w:val="18"/>
                <w:szCs w:val="18"/>
              </w:rPr>
              <w:t>lead and backup for facility</w:t>
            </w:r>
          </w:p>
          <w:p w14:paraId="77095885" w14:textId="7E68899F" w:rsidR="00727CC1" w:rsidRDefault="00EA67E9" w:rsidP="00727CC1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239E7">
              <w:rPr>
                <w:rFonts w:ascii="Arial" w:hAnsi="Arial" w:cs="Arial"/>
                <w:sz w:val="18"/>
                <w:szCs w:val="18"/>
              </w:rPr>
              <w:t>Set up initial OMT meeting</w:t>
            </w:r>
            <w:r w:rsidR="00451C29">
              <w:rPr>
                <w:rFonts w:ascii="Arial" w:hAnsi="Arial" w:cs="Arial"/>
                <w:sz w:val="18"/>
                <w:szCs w:val="18"/>
              </w:rPr>
              <w:t xml:space="preserve"> (facility and SMDHU to confirm frequency of outbreak meetings)</w:t>
            </w:r>
          </w:p>
          <w:p w14:paraId="509D7A40" w14:textId="77777777" w:rsidR="00451C29" w:rsidRPr="003239E7" w:rsidRDefault="00451C29" w:rsidP="00451C29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239E7">
              <w:rPr>
                <w:rFonts w:ascii="Arial" w:hAnsi="Arial" w:cs="Arial"/>
                <w:sz w:val="18"/>
                <w:szCs w:val="18"/>
              </w:rPr>
              <w:t>SMDHU chairs OMT meetings</w:t>
            </w:r>
          </w:p>
          <w:p w14:paraId="30D39D65" w14:textId="5AB166AA" w:rsidR="00451C29" w:rsidRPr="003239E7" w:rsidRDefault="004A42CF" w:rsidP="00451C29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451C29" w:rsidRPr="003239E7">
                <w:rPr>
                  <w:rStyle w:val="Hyperlink"/>
                  <w:rFonts w:ascii="Arial" w:hAnsi="Arial" w:cs="Arial"/>
                  <w:sz w:val="18"/>
                  <w:szCs w:val="18"/>
                </w:rPr>
                <w:t>OMT Agenda</w:t>
              </w:r>
            </w:hyperlink>
          </w:p>
          <w:p w14:paraId="4E8CE6AB" w14:textId="526C4CF9" w:rsidR="001F39F1" w:rsidRPr="00451C29" w:rsidRDefault="00451C29" w:rsidP="00451C29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60605">
              <w:rPr>
                <w:rFonts w:ascii="Arial" w:hAnsi="Arial" w:cs="Arial"/>
                <w:sz w:val="18"/>
                <w:szCs w:val="18"/>
              </w:rPr>
              <w:t xml:space="preserve">OMT partners </w:t>
            </w:r>
            <w:proofErr w:type="gramStart"/>
            <w:r w:rsidRPr="00460605">
              <w:rPr>
                <w:rFonts w:ascii="Arial" w:hAnsi="Arial" w:cs="Arial"/>
                <w:sz w:val="18"/>
                <w:szCs w:val="18"/>
              </w:rPr>
              <w:t>include:</w:t>
            </w:r>
            <w:proofErr w:type="gramEnd"/>
            <w:r w:rsidRPr="004606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67E9" w:rsidRPr="00460605">
              <w:rPr>
                <w:rFonts w:ascii="Arial" w:hAnsi="Arial" w:cs="Arial"/>
                <w:sz w:val="18"/>
                <w:szCs w:val="18"/>
              </w:rPr>
              <w:t>Ontario Health, MLTC or RHRA (as applicable), IPAC Hub members (as applicable)</w:t>
            </w:r>
          </w:p>
        </w:tc>
        <w:tc>
          <w:tcPr>
            <w:tcW w:w="13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9FAA0" w14:textId="77777777" w:rsidR="00727CC1" w:rsidRPr="00727CC1" w:rsidRDefault="00727CC1" w:rsidP="00727C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CC1" w:rsidRPr="00727CC1" w14:paraId="588DE04A" w14:textId="77777777" w:rsidTr="0048078C">
        <w:tc>
          <w:tcPr>
            <w:tcW w:w="495" w:type="dxa"/>
            <w:tcBorders>
              <w:right w:val="nil"/>
            </w:tcBorders>
            <w:shd w:val="clear" w:color="auto" w:fill="auto"/>
          </w:tcPr>
          <w:p w14:paraId="5D19CA7C" w14:textId="77777777" w:rsidR="00727CC1" w:rsidRPr="003239E7" w:rsidRDefault="00385BDB" w:rsidP="00727CC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239E7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9670" w:type="dxa"/>
            <w:tcBorders>
              <w:left w:val="nil"/>
            </w:tcBorders>
            <w:shd w:val="clear" w:color="auto" w:fill="auto"/>
          </w:tcPr>
          <w:p w14:paraId="4179CF63" w14:textId="77777777" w:rsidR="00727CC1" w:rsidRPr="003239E7" w:rsidRDefault="00727CC1" w:rsidP="00727CC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239E7">
              <w:rPr>
                <w:rFonts w:ascii="Arial" w:hAnsi="Arial" w:cs="Arial"/>
                <w:sz w:val="18"/>
                <w:szCs w:val="18"/>
              </w:rPr>
              <w:t xml:space="preserve">Notifications and communication to families, </w:t>
            </w:r>
            <w:proofErr w:type="gramStart"/>
            <w:r w:rsidRPr="003239E7">
              <w:rPr>
                <w:rFonts w:ascii="Arial" w:hAnsi="Arial" w:cs="Arial"/>
                <w:sz w:val="18"/>
                <w:szCs w:val="18"/>
              </w:rPr>
              <w:t>visitors</w:t>
            </w:r>
            <w:proofErr w:type="gramEnd"/>
            <w:r w:rsidRPr="003239E7">
              <w:rPr>
                <w:rFonts w:ascii="Arial" w:hAnsi="Arial" w:cs="Arial"/>
                <w:sz w:val="18"/>
                <w:szCs w:val="18"/>
              </w:rPr>
              <w:t xml:space="preserve"> and community partners. Includes posting signage.</w:t>
            </w:r>
          </w:p>
        </w:tc>
        <w:tc>
          <w:tcPr>
            <w:tcW w:w="1373" w:type="dxa"/>
            <w:shd w:val="clear" w:color="auto" w:fill="auto"/>
          </w:tcPr>
          <w:p w14:paraId="7915E8B8" w14:textId="77777777" w:rsidR="00727CC1" w:rsidRPr="00727CC1" w:rsidRDefault="00727CC1" w:rsidP="00727C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CC1" w:rsidRPr="00727CC1" w14:paraId="464BB1EF" w14:textId="77777777" w:rsidTr="0048078C">
        <w:trPr>
          <w:trHeight w:val="317"/>
        </w:trPr>
        <w:tc>
          <w:tcPr>
            <w:tcW w:w="495" w:type="dxa"/>
            <w:tcBorders>
              <w:right w:val="nil"/>
            </w:tcBorders>
            <w:shd w:val="clear" w:color="auto" w:fill="auto"/>
          </w:tcPr>
          <w:p w14:paraId="55E2640D" w14:textId="77777777" w:rsidR="00727CC1" w:rsidRPr="003239E7" w:rsidRDefault="00385BDB" w:rsidP="00727CC1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39E7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9670" w:type="dxa"/>
            <w:tcBorders>
              <w:left w:val="nil"/>
            </w:tcBorders>
            <w:shd w:val="clear" w:color="auto" w:fill="auto"/>
          </w:tcPr>
          <w:p w14:paraId="69253983" w14:textId="2178555A" w:rsidR="00727CC1" w:rsidRPr="003239E7" w:rsidRDefault="00727CC1" w:rsidP="00727CC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239E7">
              <w:rPr>
                <w:rFonts w:ascii="Arial" w:hAnsi="Arial" w:cs="Arial"/>
                <w:sz w:val="18"/>
                <w:szCs w:val="18"/>
              </w:rPr>
              <w:t xml:space="preserve">Line list is faxed to health unit </w:t>
            </w:r>
            <w:r w:rsidR="002F76C0">
              <w:rPr>
                <w:rFonts w:ascii="Arial" w:hAnsi="Arial" w:cs="Arial"/>
                <w:sz w:val="18"/>
                <w:szCs w:val="18"/>
              </w:rPr>
              <w:t>(</w:t>
            </w:r>
            <w:r w:rsidR="00FC273D" w:rsidRPr="003239E7">
              <w:rPr>
                <w:rFonts w:ascii="Arial" w:hAnsi="Arial" w:cs="Arial"/>
                <w:color w:val="242424"/>
                <w:sz w:val="18"/>
                <w:szCs w:val="18"/>
                <w:shd w:val="clear" w:color="auto" w:fill="FFFFFF"/>
              </w:rPr>
              <w:t>705-725-8007</w:t>
            </w:r>
            <w:r w:rsidR="002F76C0">
              <w:rPr>
                <w:rFonts w:ascii="Arial" w:hAnsi="Arial" w:cs="Arial"/>
                <w:color w:val="242424"/>
                <w:sz w:val="18"/>
                <w:szCs w:val="18"/>
                <w:shd w:val="clear" w:color="auto" w:fill="FFFFFF"/>
              </w:rPr>
              <w:t>)</w:t>
            </w:r>
            <w:r w:rsidR="007F7942" w:rsidRPr="003239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39E7">
              <w:rPr>
                <w:rFonts w:ascii="Arial" w:hAnsi="Arial" w:cs="Arial"/>
                <w:b/>
                <w:sz w:val="18"/>
                <w:szCs w:val="18"/>
              </w:rPr>
              <w:t>at the time of initial contact</w:t>
            </w:r>
            <w:r w:rsidRPr="003239E7">
              <w:rPr>
                <w:rFonts w:ascii="Arial" w:hAnsi="Arial" w:cs="Arial"/>
                <w:sz w:val="18"/>
                <w:szCs w:val="18"/>
              </w:rPr>
              <w:t xml:space="preserve"> with the health unit. </w:t>
            </w:r>
          </w:p>
          <w:p w14:paraId="541C3AEB" w14:textId="7D35F056" w:rsidR="00727CC1" w:rsidRPr="003239E7" w:rsidRDefault="002F76C0" w:rsidP="00727CC1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Facility and liaison to establish expectations re: communications and submission of updated line lists for the duration of the outbreak</w:t>
            </w:r>
            <w:r w:rsidR="00727CC1" w:rsidRPr="003239E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73" w:type="dxa"/>
            <w:shd w:val="clear" w:color="auto" w:fill="auto"/>
          </w:tcPr>
          <w:p w14:paraId="5A0D2B87" w14:textId="77777777" w:rsidR="00727CC1" w:rsidRPr="00727CC1" w:rsidRDefault="00727CC1" w:rsidP="00727C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CC1" w:rsidRPr="00727CC1" w14:paraId="54C4A9AA" w14:textId="77777777" w:rsidTr="0048078C">
        <w:trPr>
          <w:trHeight w:val="410"/>
        </w:trPr>
        <w:tc>
          <w:tcPr>
            <w:tcW w:w="495" w:type="dxa"/>
            <w:tcBorders>
              <w:right w:val="nil"/>
            </w:tcBorders>
            <w:shd w:val="clear" w:color="auto" w:fill="auto"/>
          </w:tcPr>
          <w:p w14:paraId="60F5FA22" w14:textId="77777777" w:rsidR="00727CC1" w:rsidRPr="003239E7" w:rsidRDefault="00385BDB" w:rsidP="00727CC1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39E7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9670" w:type="dxa"/>
            <w:tcBorders>
              <w:left w:val="nil"/>
            </w:tcBorders>
            <w:shd w:val="clear" w:color="auto" w:fill="auto"/>
          </w:tcPr>
          <w:p w14:paraId="27A154CF" w14:textId="3B7DEF87" w:rsidR="008777EF" w:rsidRDefault="00727CC1" w:rsidP="00727CC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239E7">
              <w:rPr>
                <w:rFonts w:ascii="Arial" w:hAnsi="Arial" w:cs="Arial"/>
                <w:sz w:val="18"/>
                <w:szCs w:val="18"/>
              </w:rPr>
              <w:t>Report</w:t>
            </w:r>
            <w:r w:rsidR="00281924" w:rsidRPr="003239E7">
              <w:rPr>
                <w:rFonts w:ascii="Arial" w:hAnsi="Arial" w:cs="Arial"/>
                <w:sz w:val="18"/>
                <w:szCs w:val="18"/>
              </w:rPr>
              <w:t xml:space="preserve"> COVID</w:t>
            </w:r>
            <w:r w:rsidR="008777EF">
              <w:rPr>
                <w:rFonts w:ascii="Arial" w:hAnsi="Arial" w:cs="Arial"/>
                <w:sz w:val="18"/>
                <w:szCs w:val="18"/>
              </w:rPr>
              <w:t>-19</w:t>
            </w:r>
            <w:r w:rsidR="00281924" w:rsidRPr="003239E7">
              <w:rPr>
                <w:rFonts w:ascii="Arial" w:hAnsi="Arial" w:cs="Arial"/>
                <w:sz w:val="18"/>
                <w:szCs w:val="18"/>
              </w:rPr>
              <w:t xml:space="preserve"> and Influenza</w:t>
            </w:r>
            <w:r w:rsidRPr="003239E7">
              <w:rPr>
                <w:rFonts w:ascii="Arial" w:hAnsi="Arial" w:cs="Arial"/>
                <w:sz w:val="18"/>
                <w:szCs w:val="18"/>
              </w:rPr>
              <w:t xml:space="preserve"> immunization rates for residents and staff at the time of initial notification </w:t>
            </w:r>
          </w:p>
          <w:p w14:paraId="5789E229" w14:textId="5E882286" w:rsidR="00727CC1" w:rsidRPr="003239E7" w:rsidRDefault="00727CC1" w:rsidP="00727CC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239E7">
              <w:rPr>
                <w:rFonts w:ascii="Arial" w:hAnsi="Arial" w:cs="Arial"/>
                <w:sz w:val="18"/>
                <w:szCs w:val="18"/>
              </w:rPr>
              <w:t>(</w:t>
            </w:r>
            <w:r w:rsidR="00281924" w:rsidRPr="003239E7">
              <w:rPr>
                <w:rFonts w:ascii="Arial" w:hAnsi="Arial" w:cs="Arial"/>
                <w:sz w:val="18"/>
                <w:szCs w:val="18"/>
              </w:rPr>
              <w:t>Influenza rates only required November - April</w:t>
            </w:r>
            <w:r w:rsidRPr="003239E7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04E6E0B" w14:textId="77777777" w:rsidR="00727CC1" w:rsidRPr="003239E7" w:rsidRDefault="00727CC1" w:rsidP="00727CC1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239E7">
              <w:rPr>
                <w:rFonts w:ascii="Arial" w:hAnsi="Arial" w:cs="Arial"/>
                <w:sz w:val="18"/>
                <w:szCs w:val="18"/>
              </w:rPr>
              <w:t>Implement exclusion policy and staffing contingency plans as required</w:t>
            </w:r>
          </w:p>
          <w:p w14:paraId="5FB629BE" w14:textId="7D40A9E5" w:rsidR="001F39F1" w:rsidRPr="003239E7" w:rsidRDefault="001F39F1" w:rsidP="00727CC1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239E7">
              <w:rPr>
                <w:rFonts w:ascii="Arial" w:hAnsi="Arial" w:cs="Arial"/>
                <w:sz w:val="18"/>
                <w:szCs w:val="18"/>
              </w:rPr>
              <w:t>Discuss plans for antivirals, vaccination, exclusion policy and staffing contingency plans (as appropriate). (MOHLTC, Section 4.6 &amp; Appendix 9)</w:t>
            </w:r>
          </w:p>
        </w:tc>
        <w:tc>
          <w:tcPr>
            <w:tcW w:w="1373" w:type="dxa"/>
            <w:shd w:val="clear" w:color="auto" w:fill="auto"/>
          </w:tcPr>
          <w:p w14:paraId="6A6C389C" w14:textId="77777777" w:rsidR="00727CC1" w:rsidRPr="00727CC1" w:rsidRDefault="00727CC1" w:rsidP="00727C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CC1" w:rsidRPr="00727CC1" w14:paraId="45C695BE" w14:textId="77777777" w:rsidTr="0048078C">
        <w:trPr>
          <w:trHeight w:val="410"/>
        </w:trPr>
        <w:tc>
          <w:tcPr>
            <w:tcW w:w="495" w:type="dxa"/>
            <w:tcBorders>
              <w:right w:val="nil"/>
            </w:tcBorders>
            <w:shd w:val="clear" w:color="auto" w:fill="auto"/>
          </w:tcPr>
          <w:p w14:paraId="17ADB54E" w14:textId="77777777" w:rsidR="00727CC1" w:rsidRPr="003239E7" w:rsidRDefault="00385BDB" w:rsidP="00727CC1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39E7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9670" w:type="dxa"/>
            <w:tcBorders>
              <w:left w:val="nil"/>
            </w:tcBorders>
            <w:shd w:val="clear" w:color="auto" w:fill="auto"/>
          </w:tcPr>
          <w:p w14:paraId="7E111CF1" w14:textId="37CBA732" w:rsidR="00727CC1" w:rsidRPr="003239E7" w:rsidRDefault="00EA67E9" w:rsidP="00EA67E9">
            <w:pPr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239E7">
              <w:rPr>
                <w:rFonts w:ascii="Arial" w:hAnsi="Arial" w:cs="Arial"/>
                <w:sz w:val="18"/>
                <w:szCs w:val="18"/>
              </w:rPr>
              <w:t xml:space="preserve">If influenza </w:t>
            </w:r>
            <w:r w:rsidR="002F76C0">
              <w:rPr>
                <w:rFonts w:ascii="Arial" w:hAnsi="Arial" w:cs="Arial"/>
                <w:sz w:val="18"/>
                <w:szCs w:val="18"/>
              </w:rPr>
              <w:t xml:space="preserve">outbreak, </w:t>
            </w:r>
            <w:r w:rsidRPr="003239E7">
              <w:rPr>
                <w:rFonts w:ascii="Arial" w:hAnsi="Arial" w:cs="Arial"/>
                <w:sz w:val="18"/>
                <w:szCs w:val="18"/>
              </w:rPr>
              <w:t>a</w:t>
            </w:r>
            <w:r w:rsidR="00727CC1" w:rsidRPr="003239E7">
              <w:rPr>
                <w:rFonts w:ascii="Arial" w:hAnsi="Arial" w:cs="Arial"/>
                <w:sz w:val="18"/>
                <w:szCs w:val="18"/>
              </w:rPr>
              <w:t>dministration and implementation of antivir</w:t>
            </w:r>
            <w:r w:rsidRPr="003239E7">
              <w:rPr>
                <w:rFonts w:ascii="Arial" w:hAnsi="Arial" w:cs="Arial"/>
                <w:sz w:val="18"/>
                <w:szCs w:val="18"/>
              </w:rPr>
              <w:t>als as recommended by the MOH</w:t>
            </w:r>
            <w:r w:rsidR="00727CC1" w:rsidRPr="003239E7">
              <w:rPr>
                <w:rFonts w:ascii="Arial" w:hAnsi="Arial" w:cs="Arial"/>
                <w:sz w:val="18"/>
                <w:szCs w:val="18"/>
              </w:rPr>
              <w:t xml:space="preserve"> and is found within the facility’s OB preparedness plan (</w:t>
            </w:r>
            <w:r w:rsidR="001F39F1" w:rsidRPr="003239E7">
              <w:rPr>
                <w:rFonts w:ascii="Arial" w:hAnsi="Arial" w:cs="Arial"/>
                <w:sz w:val="18"/>
                <w:szCs w:val="18"/>
              </w:rPr>
              <w:t xml:space="preserve">MOHLTC, </w:t>
            </w:r>
            <w:r w:rsidR="00727CC1" w:rsidRPr="003239E7">
              <w:rPr>
                <w:rFonts w:ascii="Arial" w:hAnsi="Arial" w:cs="Arial"/>
                <w:sz w:val="18"/>
                <w:szCs w:val="18"/>
              </w:rPr>
              <w:t>pg. 56-57)</w:t>
            </w:r>
          </w:p>
        </w:tc>
        <w:tc>
          <w:tcPr>
            <w:tcW w:w="1373" w:type="dxa"/>
            <w:shd w:val="clear" w:color="auto" w:fill="auto"/>
          </w:tcPr>
          <w:p w14:paraId="71903ED0" w14:textId="77777777" w:rsidR="00727CC1" w:rsidRPr="00727CC1" w:rsidRDefault="00727CC1" w:rsidP="00727C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CC1" w:rsidRPr="00727CC1" w14:paraId="7C465D65" w14:textId="77777777" w:rsidTr="0048078C">
        <w:trPr>
          <w:trHeight w:val="410"/>
        </w:trPr>
        <w:tc>
          <w:tcPr>
            <w:tcW w:w="495" w:type="dxa"/>
            <w:tcBorders>
              <w:right w:val="nil"/>
            </w:tcBorders>
            <w:shd w:val="clear" w:color="auto" w:fill="auto"/>
          </w:tcPr>
          <w:p w14:paraId="6E6B6E51" w14:textId="77777777" w:rsidR="00727CC1" w:rsidRPr="003239E7" w:rsidRDefault="00385BDB" w:rsidP="00727CC1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39E7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9670" w:type="dxa"/>
            <w:tcBorders>
              <w:left w:val="nil"/>
            </w:tcBorders>
            <w:shd w:val="clear" w:color="auto" w:fill="auto"/>
          </w:tcPr>
          <w:p w14:paraId="2A740087" w14:textId="77777777" w:rsidR="00EA67E9" w:rsidRPr="003239E7" w:rsidRDefault="00EA67E9" w:rsidP="00EA67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239E7">
              <w:rPr>
                <w:rFonts w:ascii="Arial" w:hAnsi="Arial" w:cs="Arial"/>
                <w:sz w:val="18"/>
                <w:szCs w:val="18"/>
              </w:rPr>
              <w:t>Screening</w:t>
            </w:r>
          </w:p>
          <w:p w14:paraId="438C28C7" w14:textId="5942D12B" w:rsidR="008777EF" w:rsidRPr="003239E7" w:rsidRDefault="008777EF" w:rsidP="008777EF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239E7">
              <w:rPr>
                <w:rFonts w:ascii="Arial" w:hAnsi="Arial" w:cs="Arial"/>
                <w:sz w:val="18"/>
                <w:szCs w:val="18"/>
              </w:rPr>
              <w:t>Residents are screened more often during enhanced surveillance or outbreak in LTCH/</w:t>
            </w:r>
            <w:proofErr w:type="spellStart"/>
            <w:r w:rsidRPr="003239E7">
              <w:rPr>
                <w:rFonts w:ascii="Arial" w:hAnsi="Arial" w:cs="Arial"/>
                <w:sz w:val="18"/>
                <w:szCs w:val="18"/>
              </w:rPr>
              <w:t>RHomes</w:t>
            </w:r>
            <w:proofErr w:type="spellEnd"/>
            <w:r w:rsidRPr="003239E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6A1012B" w14:textId="77777777" w:rsidR="008777EF" w:rsidRDefault="008777EF" w:rsidP="00EA67E9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239E7">
              <w:rPr>
                <w:rFonts w:ascii="Arial" w:hAnsi="Arial" w:cs="Arial"/>
                <w:sz w:val="18"/>
                <w:szCs w:val="18"/>
              </w:rPr>
              <w:t>Residents/patients with any symptoms</w:t>
            </w:r>
            <w:r>
              <w:rPr>
                <w:rFonts w:ascii="Arial" w:hAnsi="Arial" w:cs="Arial"/>
                <w:sz w:val="18"/>
                <w:szCs w:val="18"/>
              </w:rPr>
              <w:t xml:space="preserve"> are</w:t>
            </w:r>
            <w:r w:rsidRPr="003239E7">
              <w:rPr>
                <w:rFonts w:ascii="Arial" w:hAnsi="Arial" w:cs="Arial"/>
                <w:sz w:val="18"/>
                <w:szCs w:val="18"/>
              </w:rPr>
              <w:t xml:space="preserve"> immediately placed on droplet/contact precautions and encouraged to remain in their room (MOHLTC, Section 4.2.2; p. 49)</w:t>
            </w:r>
          </w:p>
          <w:p w14:paraId="394D8FD2" w14:textId="3E87183A" w:rsidR="00717E16" w:rsidRPr="008777EF" w:rsidRDefault="00EA67E9" w:rsidP="008777EF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239E7">
              <w:rPr>
                <w:rFonts w:ascii="Arial" w:hAnsi="Arial" w:cs="Arial"/>
                <w:sz w:val="18"/>
                <w:szCs w:val="18"/>
              </w:rPr>
              <w:t>Passive and active screening are occurring for all staff</w:t>
            </w:r>
            <w:r w:rsidR="0086720C" w:rsidRPr="003239E7">
              <w:rPr>
                <w:rFonts w:ascii="Arial" w:hAnsi="Arial" w:cs="Arial"/>
                <w:sz w:val="18"/>
                <w:szCs w:val="18"/>
              </w:rPr>
              <w:t>, outpatients</w:t>
            </w:r>
            <w:r w:rsidRPr="003239E7">
              <w:rPr>
                <w:rFonts w:ascii="Arial" w:hAnsi="Arial" w:cs="Arial"/>
                <w:sz w:val="18"/>
                <w:szCs w:val="18"/>
              </w:rPr>
              <w:t xml:space="preserve"> and visitors</w:t>
            </w:r>
            <w:r w:rsidR="001F39F1" w:rsidRPr="003239E7">
              <w:rPr>
                <w:rFonts w:ascii="Arial" w:hAnsi="Arial" w:cs="Arial"/>
                <w:sz w:val="18"/>
                <w:szCs w:val="18"/>
              </w:rPr>
              <w:t xml:space="preserve"> and are immediately excluded if they do not pass screening.</w:t>
            </w:r>
          </w:p>
        </w:tc>
        <w:tc>
          <w:tcPr>
            <w:tcW w:w="1373" w:type="dxa"/>
            <w:shd w:val="clear" w:color="auto" w:fill="auto"/>
          </w:tcPr>
          <w:p w14:paraId="6F932D86" w14:textId="77777777" w:rsidR="00727CC1" w:rsidRPr="00727CC1" w:rsidRDefault="00727CC1" w:rsidP="00727C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7E9" w:rsidRPr="00727CC1" w14:paraId="081C1775" w14:textId="77777777" w:rsidTr="0048078C">
        <w:trPr>
          <w:trHeight w:val="410"/>
        </w:trPr>
        <w:tc>
          <w:tcPr>
            <w:tcW w:w="495" w:type="dxa"/>
            <w:tcBorders>
              <w:right w:val="nil"/>
            </w:tcBorders>
            <w:shd w:val="clear" w:color="auto" w:fill="auto"/>
          </w:tcPr>
          <w:p w14:paraId="3279E54D" w14:textId="77777777" w:rsidR="00EA67E9" w:rsidRPr="003239E7" w:rsidRDefault="00DF45D3" w:rsidP="00727CC1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39E7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9670" w:type="dxa"/>
            <w:tcBorders>
              <w:left w:val="nil"/>
            </w:tcBorders>
            <w:shd w:val="clear" w:color="auto" w:fill="auto"/>
          </w:tcPr>
          <w:p w14:paraId="2166C3FB" w14:textId="2C82C345" w:rsidR="001F39F1" w:rsidRPr="00D72E6B" w:rsidRDefault="00EA67E9" w:rsidP="00D72E6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239E7">
              <w:rPr>
                <w:rFonts w:ascii="Arial" w:hAnsi="Arial" w:cs="Arial"/>
                <w:sz w:val="18"/>
                <w:szCs w:val="18"/>
              </w:rPr>
              <w:t>Masking</w:t>
            </w:r>
            <w:r w:rsidR="00FC273D" w:rsidRPr="003239E7">
              <w:rPr>
                <w:rFonts w:ascii="Arial" w:hAnsi="Arial" w:cs="Arial"/>
                <w:sz w:val="18"/>
                <w:szCs w:val="18"/>
              </w:rPr>
              <w:t xml:space="preserve"> &amp; PPE</w:t>
            </w:r>
            <w:r w:rsidR="001F39F1" w:rsidRPr="003239E7">
              <w:rPr>
                <w:sz w:val="18"/>
                <w:szCs w:val="18"/>
              </w:rPr>
              <w:t xml:space="preserve"> </w:t>
            </w:r>
          </w:p>
          <w:p w14:paraId="49677597" w14:textId="5D4A1A70" w:rsidR="00D72E6B" w:rsidRDefault="00D72E6B" w:rsidP="00D72E6B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Ensure all supplies are readily available (ABHR, appropriate PPE, signage, etc.) See </w:t>
            </w:r>
            <w:r w:rsidRPr="00D72E6B">
              <w:rPr>
                <w:rFonts w:ascii="Arial" w:hAnsi="Arial" w:cs="Arial"/>
                <w:sz w:val="18"/>
                <w:szCs w:val="18"/>
              </w:rPr>
              <w:t>(MOHLTC, p. 41-46)</w:t>
            </w:r>
          </w:p>
          <w:p w14:paraId="0B604E2C" w14:textId="01F5AFD7" w:rsidR="00EA67E9" w:rsidRPr="003239E7" w:rsidRDefault="00EA67E9" w:rsidP="00D72E6B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239E7">
              <w:rPr>
                <w:rFonts w:ascii="Arial" w:hAnsi="Arial" w:cs="Arial"/>
                <w:sz w:val="18"/>
                <w:szCs w:val="18"/>
              </w:rPr>
              <w:t>Resident/patients are wearing face coverings (as able) when within 2 metres of others</w:t>
            </w:r>
          </w:p>
          <w:p w14:paraId="08A39720" w14:textId="265E11D3" w:rsidR="00EA67E9" w:rsidRPr="003239E7" w:rsidRDefault="00D15EE1" w:rsidP="00D72E6B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239E7">
              <w:rPr>
                <w:rFonts w:ascii="Arial" w:hAnsi="Arial" w:cs="Arial"/>
                <w:sz w:val="18"/>
                <w:szCs w:val="18"/>
              </w:rPr>
              <w:t xml:space="preserve">During </w:t>
            </w:r>
            <w:r w:rsidR="008777EF">
              <w:rPr>
                <w:rFonts w:ascii="Arial" w:hAnsi="Arial" w:cs="Arial"/>
                <w:sz w:val="18"/>
                <w:szCs w:val="18"/>
              </w:rPr>
              <w:t>outbreak</w:t>
            </w:r>
            <w:r w:rsidRPr="003239E7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8777EF">
              <w:rPr>
                <w:rFonts w:ascii="Arial" w:hAnsi="Arial" w:cs="Arial"/>
                <w:sz w:val="18"/>
                <w:szCs w:val="18"/>
              </w:rPr>
              <w:t>s</w:t>
            </w:r>
            <w:r w:rsidR="00EA67E9" w:rsidRPr="003239E7">
              <w:rPr>
                <w:rFonts w:ascii="Arial" w:hAnsi="Arial" w:cs="Arial"/>
                <w:sz w:val="18"/>
                <w:szCs w:val="18"/>
              </w:rPr>
              <w:t xml:space="preserve">taff </w:t>
            </w:r>
            <w:r w:rsidR="00FD27DD" w:rsidRPr="003239E7">
              <w:rPr>
                <w:rFonts w:ascii="Arial" w:hAnsi="Arial" w:cs="Arial"/>
                <w:sz w:val="18"/>
                <w:szCs w:val="18"/>
              </w:rPr>
              <w:t xml:space="preserve">and essential visitors </w:t>
            </w:r>
            <w:r w:rsidR="001F6FAC" w:rsidRPr="003239E7">
              <w:rPr>
                <w:rFonts w:ascii="Arial" w:hAnsi="Arial" w:cs="Arial"/>
                <w:sz w:val="18"/>
                <w:szCs w:val="18"/>
              </w:rPr>
              <w:t>wear</w:t>
            </w:r>
            <w:r w:rsidR="00EA67E9" w:rsidRPr="003239E7">
              <w:rPr>
                <w:rFonts w:ascii="Arial" w:hAnsi="Arial" w:cs="Arial"/>
                <w:sz w:val="18"/>
                <w:szCs w:val="18"/>
              </w:rPr>
              <w:t xml:space="preserve"> medical masks </w:t>
            </w:r>
            <w:r w:rsidR="00EA67E9" w:rsidRPr="003239E7">
              <w:rPr>
                <w:rFonts w:ascii="Arial" w:hAnsi="Arial" w:cs="Arial"/>
                <w:b/>
                <w:bCs/>
                <w:sz w:val="18"/>
                <w:szCs w:val="18"/>
              </w:rPr>
              <w:t>&amp; eye protection</w:t>
            </w:r>
            <w:r w:rsidR="00EA67E9" w:rsidRPr="003239E7">
              <w:rPr>
                <w:rFonts w:ascii="Arial" w:hAnsi="Arial" w:cs="Arial"/>
                <w:sz w:val="18"/>
                <w:szCs w:val="18"/>
              </w:rPr>
              <w:t xml:space="preserve"> in patient/resident care areas</w:t>
            </w:r>
            <w:r w:rsidR="001F6FAC" w:rsidRPr="003239E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F975B9C" w14:textId="77777777" w:rsidR="00EA67E9" w:rsidRPr="003239E7" w:rsidRDefault="00EA67E9" w:rsidP="00D72E6B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239E7">
              <w:rPr>
                <w:rFonts w:ascii="Arial" w:hAnsi="Arial" w:cs="Arial"/>
                <w:sz w:val="18"/>
                <w:szCs w:val="18"/>
              </w:rPr>
              <w:t xml:space="preserve">Staff are wearing face coverings in non-patient/resident care areas </w:t>
            </w:r>
            <w:proofErr w:type="gramStart"/>
            <w:r w:rsidRPr="003239E7">
              <w:rPr>
                <w:rFonts w:ascii="Arial" w:hAnsi="Arial" w:cs="Arial"/>
                <w:sz w:val="18"/>
                <w:szCs w:val="18"/>
              </w:rPr>
              <w:t>e.g.</w:t>
            </w:r>
            <w:proofErr w:type="gramEnd"/>
            <w:r w:rsidRPr="003239E7">
              <w:rPr>
                <w:rFonts w:ascii="Arial" w:hAnsi="Arial" w:cs="Arial"/>
                <w:sz w:val="18"/>
                <w:szCs w:val="18"/>
              </w:rPr>
              <w:t xml:space="preserve"> lunch rooms</w:t>
            </w:r>
          </w:p>
          <w:p w14:paraId="2CA256ED" w14:textId="77777777" w:rsidR="00EA67E9" w:rsidRPr="003239E7" w:rsidRDefault="00EA67E9" w:rsidP="00D72E6B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239E7">
              <w:rPr>
                <w:rFonts w:ascii="Arial" w:hAnsi="Arial" w:cs="Arial"/>
                <w:sz w:val="18"/>
                <w:szCs w:val="18"/>
              </w:rPr>
              <w:t>Staff/essential visitors are wearing appropriate PPE when caring for any individual on precautions</w:t>
            </w:r>
          </w:p>
          <w:p w14:paraId="6AED811C" w14:textId="49570C22" w:rsidR="0048078C" w:rsidRPr="003239E7" w:rsidRDefault="00EA67E9" w:rsidP="00D72E6B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239E7">
              <w:rPr>
                <w:rFonts w:ascii="Arial" w:hAnsi="Arial" w:cs="Arial"/>
                <w:sz w:val="18"/>
                <w:szCs w:val="18"/>
              </w:rPr>
              <w:t>Staff wear fit-tested N95 for aerosol-generating medical procedures</w:t>
            </w:r>
          </w:p>
        </w:tc>
        <w:tc>
          <w:tcPr>
            <w:tcW w:w="1373" w:type="dxa"/>
            <w:shd w:val="clear" w:color="auto" w:fill="auto"/>
          </w:tcPr>
          <w:p w14:paraId="347F0629" w14:textId="77777777" w:rsidR="00EA67E9" w:rsidRPr="00727CC1" w:rsidRDefault="00EA67E9" w:rsidP="00727C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7E9" w:rsidRPr="00727CC1" w14:paraId="5D92FABD" w14:textId="77777777" w:rsidTr="0048078C">
        <w:trPr>
          <w:trHeight w:val="410"/>
        </w:trPr>
        <w:tc>
          <w:tcPr>
            <w:tcW w:w="495" w:type="dxa"/>
            <w:tcBorders>
              <w:right w:val="nil"/>
            </w:tcBorders>
            <w:shd w:val="clear" w:color="auto" w:fill="auto"/>
          </w:tcPr>
          <w:p w14:paraId="38BC9EB3" w14:textId="77777777" w:rsidR="00EA67E9" w:rsidRPr="003239E7" w:rsidRDefault="00DF45D3" w:rsidP="00727CC1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39E7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9670" w:type="dxa"/>
            <w:tcBorders>
              <w:left w:val="nil"/>
            </w:tcBorders>
            <w:shd w:val="clear" w:color="auto" w:fill="auto"/>
          </w:tcPr>
          <w:p w14:paraId="3720FF89" w14:textId="77777777" w:rsidR="00EA67E9" w:rsidRPr="003239E7" w:rsidRDefault="00EA67E9" w:rsidP="00727CC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239E7">
              <w:rPr>
                <w:rFonts w:ascii="Arial" w:hAnsi="Arial" w:cs="Arial"/>
                <w:sz w:val="18"/>
                <w:szCs w:val="18"/>
              </w:rPr>
              <w:t>Physical Distancing</w:t>
            </w:r>
          </w:p>
          <w:p w14:paraId="07F801B1" w14:textId="07F50DD7" w:rsidR="00EA67E9" w:rsidRPr="003239E7" w:rsidRDefault="00717E16" w:rsidP="00EA67E9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239E7">
              <w:rPr>
                <w:rFonts w:ascii="Arial" w:hAnsi="Arial" w:cs="Arial"/>
                <w:sz w:val="18"/>
                <w:szCs w:val="18"/>
              </w:rPr>
              <w:t xml:space="preserve">Patients/residents not in isolation are </w:t>
            </w:r>
            <w:proofErr w:type="gramStart"/>
            <w:r w:rsidRPr="003239E7">
              <w:rPr>
                <w:rFonts w:ascii="Arial" w:hAnsi="Arial" w:cs="Arial"/>
                <w:sz w:val="18"/>
                <w:szCs w:val="18"/>
              </w:rPr>
              <w:t>physical</w:t>
            </w:r>
            <w:r w:rsidR="008777EF">
              <w:rPr>
                <w:rFonts w:ascii="Arial" w:hAnsi="Arial" w:cs="Arial"/>
                <w:sz w:val="18"/>
                <w:szCs w:val="18"/>
              </w:rPr>
              <w:t>ly-distanced</w:t>
            </w:r>
            <w:proofErr w:type="gramEnd"/>
            <w:r w:rsidRPr="003239E7">
              <w:rPr>
                <w:rFonts w:ascii="Arial" w:hAnsi="Arial" w:cs="Arial"/>
                <w:sz w:val="18"/>
                <w:szCs w:val="18"/>
              </w:rPr>
              <w:t xml:space="preserve"> as best able</w:t>
            </w:r>
          </w:p>
          <w:p w14:paraId="50658B63" w14:textId="008C9D27" w:rsidR="00717E16" w:rsidRPr="003239E7" w:rsidRDefault="00717E16" w:rsidP="00717E16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239E7">
              <w:rPr>
                <w:rFonts w:ascii="Arial" w:hAnsi="Arial" w:cs="Arial"/>
                <w:sz w:val="18"/>
                <w:szCs w:val="18"/>
              </w:rPr>
              <w:t xml:space="preserve">Staff breaks are </w:t>
            </w:r>
            <w:proofErr w:type="gramStart"/>
            <w:r w:rsidRPr="003239E7">
              <w:rPr>
                <w:rFonts w:ascii="Arial" w:hAnsi="Arial" w:cs="Arial"/>
                <w:sz w:val="18"/>
                <w:szCs w:val="18"/>
              </w:rPr>
              <w:t>staggered</w:t>
            </w:r>
            <w:proofErr w:type="gramEnd"/>
            <w:r w:rsidRPr="003239E7">
              <w:rPr>
                <w:rFonts w:ascii="Arial" w:hAnsi="Arial" w:cs="Arial"/>
                <w:sz w:val="18"/>
                <w:szCs w:val="18"/>
              </w:rPr>
              <w:t xml:space="preserve"> and staff advised to </w:t>
            </w:r>
            <w:r w:rsidR="008777EF">
              <w:rPr>
                <w:rFonts w:ascii="Arial" w:hAnsi="Arial" w:cs="Arial"/>
                <w:sz w:val="18"/>
                <w:szCs w:val="18"/>
              </w:rPr>
              <w:t xml:space="preserve">use </w:t>
            </w:r>
            <w:r w:rsidRPr="003239E7">
              <w:rPr>
                <w:rFonts w:ascii="Arial" w:hAnsi="Arial" w:cs="Arial"/>
                <w:sz w:val="18"/>
                <w:szCs w:val="18"/>
              </w:rPr>
              <w:t>physical distanc</w:t>
            </w:r>
            <w:r w:rsidR="008777EF">
              <w:rPr>
                <w:rFonts w:ascii="Arial" w:hAnsi="Arial" w:cs="Arial"/>
                <w:sz w:val="18"/>
                <w:szCs w:val="18"/>
              </w:rPr>
              <w:t>ing</w:t>
            </w:r>
            <w:r w:rsidRPr="003239E7">
              <w:rPr>
                <w:rFonts w:ascii="Arial" w:hAnsi="Arial" w:cs="Arial"/>
                <w:sz w:val="18"/>
                <w:szCs w:val="18"/>
              </w:rPr>
              <w:t xml:space="preserve"> in break rooms</w:t>
            </w:r>
            <w:r w:rsidR="00057431" w:rsidRPr="003239E7">
              <w:rPr>
                <w:rFonts w:ascii="Arial" w:hAnsi="Arial" w:cs="Arial"/>
                <w:sz w:val="18"/>
                <w:szCs w:val="18"/>
              </w:rPr>
              <w:t>/non-patient areas</w:t>
            </w:r>
          </w:p>
        </w:tc>
        <w:tc>
          <w:tcPr>
            <w:tcW w:w="1373" w:type="dxa"/>
            <w:shd w:val="clear" w:color="auto" w:fill="auto"/>
          </w:tcPr>
          <w:p w14:paraId="62A1359F" w14:textId="77777777" w:rsidR="00EA67E9" w:rsidRPr="00727CC1" w:rsidRDefault="00EA67E9" w:rsidP="00727C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CC1" w:rsidRPr="00727CC1" w14:paraId="525E8241" w14:textId="77777777" w:rsidTr="0048078C">
        <w:trPr>
          <w:trHeight w:val="410"/>
        </w:trPr>
        <w:tc>
          <w:tcPr>
            <w:tcW w:w="495" w:type="dxa"/>
            <w:tcBorders>
              <w:right w:val="nil"/>
            </w:tcBorders>
            <w:shd w:val="clear" w:color="auto" w:fill="auto"/>
          </w:tcPr>
          <w:p w14:paraId="6AAA06AA" w14:textId="77777777" w:rsidR="00727CC1" w:rsidRPr="003239E7" w:rsidRDefault="00DF45D3" w:rsidP="00727CC1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39E7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9670" w:type="dxa"/>
            <w:tcBorders>
              <w:left w:val="nil"/>
            </w:tcBorders>
            <w:shd w:val="clear" w:color="auto" w:fill="auto"/>
          </w:tcPr>
          <w:p w14:paraId="17CE9814" w14:textId="77777777" w:rsidR="00727CC1" w:rsidRPr="003239E7" w:rsidRDefault="00727CC1" w:rsidP="00727CC1">
            <w:pPr>
              <w:spacing w:before="60" w:after="60"/>
              <w:rPr>
                <w:rFonts w:ascii="Arial" w:hAnsi="Arial" w:cs="Arial"/>
                <w:color w:val="7F7F7F"/>
                <w:sz w:val="18"/>
                <w:szCs w:val="18"/>
              </w:rPr>
            </w:pPr>
            <w:r w:rsidRPr="003239E7">
              <w:rPr>
                <w:rFonts w:ascii="Arial" w:hAnsi="Arial" w:cs="Arial"/>
                <w:sz w:val="18"/>
                <w:szCs w:val="18"/>
              </w:rPr>
              <w:t>Coh</w:t>
            </w:r>
            <w:r w:rsidR="00EA67E9" w:rsidRPr="003239E7">
              <w:rPr>
                <w:rFonts w:ascii="Arial" w:hAnsi="Arial" w:cs="Arial"/>
                <w:sz w:val="18"/>
                <w:szCs w:val="18"/>
              </w:rPr>
              <w:t xml:space="preserve">ort care </w:t>
            </w:r>
            <w:r w:rsidR="00717E16" w:rsidRPr="003239E7">
              <w:rPr>
                <w:rFonts w:ascii="Arial" w:hAnsi="Arial" w:cs="Arial"/>
                <w:sz w:val="18"/>
                <w:szCs w:val="18"/>
              </w:rPr>
              <w:t>per unit</w:t>
            </w:r>
          </w:p>
          <w:p w14:paraId="6BACF574" w14:textId="2C7597F2" w:rsidR="00727CC1" w:rsidRPr="003239E7" w:rsidRDefault="00D72E6B" w:rsidP="00727CC1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Limit m</w:t>
            </w:r>
            <w:r w:rsidR="00717E16" w:rsidRPr="003239E7">
              <w:rPr>
                <w:rFonts w:ascii="Arial" w:hAnsi="Arial" w:cs="Arial"/>
                <w:sz w:val="18"/>
                <w:szCs w:val="18"/>
              </w:rPr>
              <w:t>ovement of staff</w:t>
            </w:r>
            <w:r>
              <w:rPr>
                <w:rFonts w:ascii="Arial" w:hAnsi="Arial" w:cs="Arial"/>
                <w:sz w:val="18"/>
                <w:szCs w:val="18"/>
              </w:rPr>
              <w:t>/residents</w:t>
            </w:r>
            <w:r w:rsidR="00717E16" w:rsidRPr="003239E7">
              <w:rPr>
                <w:rFonts w:ascii="Arial" w:hAnsi="Arial" w:cs="Arial"/>
                <w:sz w:val="18"/>
                <w:szCs w:val="18"/>
              </w:rPr>
              <w:t>/patients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717E16" w:rsidRPr="003239E7">
              <w:rPr>
                <w:rFonts w:ascii="Arial" w:hAnsi="Arial" w:cs="Arial"/>
                <w:sz w:val="18"/>
                <w:szCs w:val="18"/>
              </w:rPr>
              <w:t xml:space="preserve">visitors </w:t>
            </w:r>
            <w:r w:rsidR="00727CC1" w:rsidRPr="003239E7">
              <w:rPr>
                <w:rFonts w:ascii="Arial" w:hAnsi="Arial" w:cs="Arial"/>
                <w:sz w:val="18"/>
                <w:szCs w:val="18"/>
              </w:rPr>
              <w:t>between affected</w:t>
            </w:r>
            <w:r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727CC1" w:rsidRPr="003239E7">
              <w:rPr>
                <w:rFonts w:ascii="Arial" w:hAnsi="Arial" w:cs="Arial"/>
                <w:sz w:val="18"/>
                <w:szCs w:val="18"/>
              </w:rPr>
              <w:t xml:space="preserve">unaffected </w:t>
            </w:r>
            <w:r>
              <w:rPr>
                <w:rFonts w:ascii="Arial" w:hAnsi="Arial" w:cs="Arial"/>
                <w:sz w:val="18"/>
                <w:szCs w:val="18"/>
              </w:rPr>
              <w:t>areas</w:t>
            </w:r>
            <w:r w:rsidR="00727CC1" w:rsidRPr="003239E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5515A33" w14:textId="25EF916B" w:rsidR="00717E16" w:rsidRPr="003239E7" w:rsidRDefault="00D72E6B" w:rsidP="00727CC1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Cohort s</w:t>
            </w:r>
            <w:r w:rsidR="00717E16" w:rsidRPr="003239E7">
              <w:rPr>
                <w:rFonts w:ascii="Arial" w:hAnsi="Arial" w:cs="Arial"/>
                <w:sz w:val="18"/>
                <w:szCs w:val="18"/>
              </w:rPr>
              <w:t xml:space="preserve">taff to same unit for outbreak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717E16" w:rsidRPr="003239E7">
              <w:rPr>
                <w:rFonts w:ascii="Arial" w:hAnsi="Arial" w:cs="Arial"/>
                <w:sz w:val="18"/>
                <w:szCs w:val="18"/>
              </w:rPr>
              <w:t>as best able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717E16" w:rsidRPr="003239E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CFE487D" w14:textId="21FAB616" w:rsidR="00717E16" w:rsidRPr="003239E7" w:rsidRDefault="00D72E6B" w:rsidP="00727CC1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Cohort e</w:t>
            </w:r>
            <w:r w:rsidR="00717E16" w:rsidRPr="003239E7">
              <w:rPr>
                <w:rFonts w:ascii="Arial" w:hAnsi="Arial" w:cs="Arial"/>
                <w:sz w:val="18"/>
                <w:szCs w:val="18"/>
              </w:rPr>
              <w:t>xternal agency staff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17E16" w:rsidRPr="003239E7">
              <w:rPr>
                <w:rFonts w:ascii="Arial" w:hAnsi="Arial" w:cs="Arial"/>
                <w:sz w:val="18"/>
                <w:szCs w:val="18"/>
              </w:rPr>
              <w:t xml:space="preserve">to same unit for outbreak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717E16" w:rsidRPr="003239E7">
              <w:rPr>
                <w:rFonts w:ascii="Arial" w:hAnsi="Arial" w:cs="Arial"/>
                <w:sz w:val="18"/>
                <w:szCs w:val="18"/>
              </w:rPr>
              <w:t>as best able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717E16" w:rsidRPr="003239E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6E597EE" w14:textId="26607B6D" w:rsidR="006B1F41" w:rsidRPr="00A065F6" w:rsidRDefault="00717E16" w:rsidP="00A065F6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239E7">
              <w:rPr>
                <w:rFonts w:ascii="Arial" w:hAnsi="Arial" w:cs="Arial"/>
                <w:sz w:val="18"/>
                <w:szCs w:val="18"/>
              </w:rPr>
              <w:t>Within affected units, staff should be further subdivided to</w:t>
            </w:r>
            <w:r w:rsidR="00727CC1" w:rsidRPr="003239E7">
              <w:rPr>
                <w:rFonts w:ascii="Arial" w:hAnsi="Arial" w:cs="Arial"/>
                <w:sz w:val="18"/>
                <w:szCs w:val="18"/>
              </w:rPr>
              <w:t xml:space="preserve"> look after ill residents/patients while </w:t>
            </w:r>
            <w:r w:rsidRPr="003239E7">
              <w:rPr>
                <w:rFonts w:ascii="Arial" w:hAnsi="Arial" w:cs="Arial"/>
                <w:sz w:val="18"/>
                <w:szCs w:val="18"/>
              </w:rPr>
              <w:t>another set of staff</w:t>
            </w:r>
            <w:r w:rsidR="00727CC1" w:rsidRPr="003239E7">
              <w:rPr>
                <w:rFonts w:ascii="Arial" w:hAnsi="Arial" w:cs="Arial"/>
                <w:sz w:val="18"/>
                <w:szCs w:val="18"/>
              </w:rPr>
              <w:t xml:space="preserve"> look after well residents/patients.</w:t>
            </w:r>
          </w:p>
          <w:p w14:paraId="43D11D79" w14:textId="77777777" w:rsidR="00717E16" w:rsidRPr="003239E7" w:rsidRDefault="00717E16" w:rsidP="00446D1B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239E7">
              <w:rPr>
                <w:rFonts w:ascii="Arial" w:hAnsi="Arial" w:cs="Arial"/>
                <w:sz w:val="18"/>
                <w:szCs w:val="18"/>
              </w:rPr>
              <w:t xml:space="preserve">If </w:t>
            </w:r>
            <w:proofErr w:type="spellStart"/>
            <w:r w:rsidRPr="003239E7">
              <w:rPr>
                <w:rFonts w:ascii="Arial" w:hAnsi="Arial" w:cs="Arial"/>
                <w:sz w:val="18"/>
                <w:szCs w:val="18"/>
              </w:rPr>
              <w:t>cohorting</w:t>
            </w:r>
            <w:proofErr w:type="spellEnd"/>
            <w:r w:rsidRPr="003239E7">
              <w:rPr>
                <w:rFonts w:ascii="Arial" w:hAnsi="Arial" w:cs="Arial"/>
                <w:sz w:val="18"/>
                <w:szCs w:val="18"/>
              </w:rPr>
              <w:t xml:space="preserve"> is not feasible – consideration to treat entire </w:t>
            </w:r>
            <w:r w:rsidR="00446D1B" w:rsidRPr="003239E7">
              <w:rPr>
                <w:rFonts w:ascii="Arial" w:hAnsi="Arial" w:cs="Arial"/>
                <w:sz w:val="18"/>
                <w:szCs w:val="18"/>
              </w:rPr>
              <w:t>facility</w:t>
            </w:r>
            <w:r w:rsidRPr="003239E7">
              <w:rPr>
                <w:rFonts w:ascii="Arial" w:hAnsi="Arial" w:cs="Arial"/>
                <w:sz w:val="18"/>
                <w:szCs w:val="18"/>
              </w:rPr>
              <w:t xml:space="preserve"> as one unit with all residents/patients managed on droplet/contact precautions</w:t>
            </w:r>
          </w:p>
        </w:tc>
        <w:tc>
          <w:tcPr>
            <w:tcW w:w="1373" w:type="dxa"/>
            <w:shd w:val="clear" w:color="auto" w:fill="auto"/>
          </w:tcPr>
          <w:p w14:paraId="48647EBA" w14:textId="77777777" w:rsidR="00727CC1" w:rsidRPr="00727CC1" w:rsidRDefault="00727CC1" w:rsidP="00727C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CC1" w:rsidRPr="00727CC1" w14:paraId="5F504E01" w14:textId="77777777" w:rsidTr="0048078C">
        <w:trPr>
          <w:trHeight w:val="980"/>
        </w:trPr>
        <w:tc>
          <w:tcPr>
            <w:tcW w:w="495" w:type="dxa"/>
            <w:tcBorders>
              <w:right w:val="nil"/>
            </w:tcBorders>
            <w:shd w:val="clear" w:color="auto" w:fill="auto"/>
          </w:tcPr>
          <w:p w14:paraId="0EB7EBE8" w14:textId="77777777" w:rsidR="00727CC1" w:rsidRPr="00E452DB" w:rsidRDefault="00DF45D3" w:rsidP="00727CC1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52DB">
              <w:rPr>
                <w:rFonts w:ascii="Arial" w:hAnsi="Arial" w:cs="Arial"/>
                <w:sz w:val="18"/>
                <w:szCs w:val="18"/>
              </w:rPr>
              <w:t>11</w:t>
            </w:r>
            <w:r w:rsidR="00385BDB" w:rsidRPr="00E452D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670" w:type="dxa"/>
            <w:tcBorders>
              <w:left w:val="nil"/>
            </w:tcBorders>
            <w:shd w:val="clear" w:color="auto" w:fill="auto"/>
          </w:tcPr>
          <w:p w14:paraId="40E1D329" w14:textId="16C7A838" w:rsidR="00727CC1" w:rsidRPr="00E452DB" w:rsidRDefault="005D0E64" w:rsidP="00727CC1">
            <w:pPr>
              <w:pStyle w:val="Default"/>
              <w:spacing w:after="60"/>
              <w:rPr>
                <w:sz w:val="18"/>
                <w:szCs w:val="18"/>
              </w:rPr>
            </w:pPr>
            <w:r w:rsidRPr="00E452DB">
              <w:rPr>
                <w:sz w:val="18"/>
                <w:szCs w:val="18"/>
              </w:rPr>
              <w:t xml:space="preserve">Activities, </w:t>
            </w:r>
            <w:r w:rsidR="007A52EB">
              <w:rPr>
                <w:sz w:val="18"/>
                <w:szCs w:val="18"/>
              </w:rPr>
              <w:t xml:space="preserve">Salon </w:t>
            </w:r>
            <w:r w:rsidRPr="00E452DB">
              <w:rPr>
                <w:sz w:val="18"/>
                <w:szCs w:val="18"/>
              </w:rPr>
              <w:t xml:space="preserve">services, </w:t>
            </w:r>
            <w:proofErr w:type="gramStart"/>
            <w:r w:rsidRPr="00E452DB">
              <w:rPr>
                <w:sz w:val="18"/>
                <w:szCs w:val="18"/>
              </w:rPr>
              <w:t>dining</w:t>
            </w:r>
            <w:proofErr w:type="gramEnd"/>
            <w:r w:rsidRPr="00E452DB">
              <w:rPr>
                <w:sz w:val="18"/>
                <w:szCs w:val="18"/>
              </w:rPr>
              <w:t xml:space="preserve"> and absences:</w:t>
            </w:r>
          </w:p>
          <w:p w14:paraId="431EC805" w14:textId="0EEC360B" w:rsidR="005D0E64" w:rsidRPr="00E452DB" w:rsidRDefault="005D0E64" w:rsidP="005D0E64">
            <w:pPr>
              <w:pStyle w:val="ListParagraph"/>
              <w:numPr>
                <w:ilvl w:val="0"/>
                <w:numId w:val="5"/>
              </w:numPr>
              <w:tabs>
                <w:tab w:val="left" w:pos="195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E452DB">
              <w:rPr>
                <w:rFonts w:ascii="Arial" w:hAnsi="Arial" w:cs="Arial"/>
                <w:sz w:val="18"/>
                <w:szCs w:val="18"/>
              </w:rPr>
              <w:t xml:space="preserve">Group activities, social outings, communal </w:t>
            </w:r>
            <w:proofErr w:type="gramStart"/>
            <w:r w:rsidRPr="00E452DB">
              <w:rPr>
                <w:rFonts w:ascii="Arial" w:hAnsi="Arial" w:cs="Arial"/>
                <w:sz w:val="18"/>
                <w:szCs w:val="18"/>
              </w:rPr>
              <w:t>meetings</w:t>
            </w:r>
            <w:proofErr w:type="gramEnd"/>
            <w:r w:rsidRPr="00E452DB">
              <w:rPr>
                <w:rFonts w:ascii="Arial" w:hAnsi="Arial" w:cs="Arial"/>
                <w:sz w:val="18"/>
                <w:szCs w:val="18"/>
              </w:rPr>
              <w:t xml:space="preserve"> and functions in the affected areas are cancelled or rescheduled</w:t>
            </w:r>
          </w:p>
          <w:p w14:paraId="16E20FC0" w14:textId="3B59649B" w:rsidR="005D0E64" w:rsidRPr="00E452DB" w:rsidRDefault="007A52EB" w:rsidP="005D0E64">
            <w:pPr>
              <w:pStyle w:val="ListParagraph"/>
              <w:numPr>
                <w:ilvl w:val="0"/>
                <w:numId w:val="5"/>
              </w:numPr>
              <w:tabs>
                <w:tab w:val="left" w:pos="195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Salon,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hair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and nail </w:t>
            </w:r>
            <w:r w:rsidR="005D0E64" w:rsidRPr="00E452DB">
              <w:rPr>
                <w:rFonts w:ascii="Arial" w:hAnsi="Arial" w:cs="Arial"/>
                <w:sz w:val="18"/>
                <w:szCs w:val="18"/>
              </w:rPr>
              <w:t xml:space="preserve">services must be discontinued for residents in outbreak areas of the home </w:t>
            </w:r>
          </w:p>
          <w:p w14:paraId="229AA4E2" w14:textId="28E28AF4" w:rsidR="005D0E64" w:rsidRPr="00E452DB" w:rsidRDefault="005D0E64" w:rsidP="005D0E64">
            <w:pPr>
              <w:pStyle w:val="ListParagraph"/>
              <w:numPr>
                <w:ilvl w:val="0"/>
                <w:numId w:val="5"/>
              </w:numPr>
              <w:tabs>
                <w:tab w:val="left" w:pos="195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E452DB">
              <w:rPr>
                <w:rFonts w:ascii="Arial" w:hAnsi="Arial" w:cs="Arial"/>
                <w:sz w:val="18"/>
                <w:szCs w:val="18"/>
              </w:rPr>
              <w:t xml:space="preserve">No interaction between the affected areas and participants in on-site </w:t>
            </w:r>
            <w:proofErr w:type="gramStart"/>
            <w:r w:rsidRPr="00E452DB">
              <w:rPr>
                <w:rFonts w:ascii="Arial" w:hAnsi="Arial" w:cs="Arial"/>
                <w:sz w:val="18"/>
                <w:szCs w:val="18"/>
              </w:rPr>
              <w:t>child care</w:t>
            </w:r>
            <w:proofErr w:type="gramEnd"/>
            <w:r w:rsidRPr="00E452DB">
              <w:rPr>
                <w:rFonts w:ascii="Arial" w:hAnsi="Arial" w:cs="Arial"/>
                <w:sz w:val="18"/>
                <w:szCs w:val="18"/>
              </w:rPr>
              <w:t xml:space="preserve"> (if applicable)</w:t>
            </w:r>
          </w:p>
          <w:p w14:paraId="15F98AC2" w14:textId="5269F9A5" w:rsidR="005D0E64" w:rsidRPr="00E452DB" w:rsidRDefault="005D0E64" w:rsidP="005D0E64">
            <w:pPr>
              <w:pStyle w:val="ListParagraph"/>
              <w:numPr>
                <w:ilvl w:val="0"/>
                <w:numId w:val="5"/>
              </w:numPr>
              <w:tabs>
                <w:tab w:val="left" w:pos="195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E452DB">
              <w:rPr>
                <w:rFonts w:ascii="Arial" w:hAnsi="Arial" w:cs="Arial"/>
                <w:sz w:val="18"/>
                <w:szCs w:val="18"/>
              </w:rPr>
              <w:t>High-risk contacts remain isolated on droplet-contact precautions, including tray service in room</w:t>
            </w:r>
          </w:p>
          <w:p w14:paraId="469B0569" w14:textId="56F6569B" w:rsidR="005D0E64" w:rsidRPr="00E452DB" w:rsidRDefault="002B0AA7" w:rsidP="005D0E64">
            <w:pPr>
              <w:pStyle w:val="ListParagraph"/>
              <w:numPr>
                <w:ilvl w:val="0"/>
                <w:numId w:val="5"/>
              </w:numPr>
              <w:tabs>
                <w:tab w:val="left" w:pos="195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E452DB">
              <w:rPr>
                <w:rFonts w:ascii="Arial" w:hAnsi="Arial" w:cs="Arial"/>
                <w:sz w:val="18"/>
                <w:szCs w:val="18"/>
              </w:rPr>
              <w:lastRenderedPageBreak/>
              <w:t>All absences are permitted except where a resident/patient is in isolation as a case or high-risk contact</w:t>
            </w:r>
          </w:p>
          <w:p w14:paraId="174499C8" w14:textId="0E3FFCAB" w:rsidR="00717E16" w:rsidRPr="00E452DB" w:rsidRDefault="002B0AA7" w:rsidP="002B0AA7">
            <w:pPr>
              <w:pStyle w:val="ListParagraph"/>
              <w:numPr>
                <w:ilvl w:val="0"/>
                <w:numId w:val="5"/>
              </w:numPr>
              <w:tabs>
                <w:tab w:val="left" w:pos="195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E452DB">
              <w:rPr>
                <w:rFonts w:ascii="Arial" w:hAnsi="Arial" w:cs="Arial"/>
                <w:sz w:val="18"/>
                <w:szCs w:val="18"/>
              </w:rPr>
              <w:t>Contact SMDHU to review if resident/patient in isolation requires essential or compassionate absence during the outbreak</w:t>
            </w:r>
          </w:p>
        </w:tc>
        <w:tc>
          <w:tcPr>
            <w:tcW w:w="1373" w:type="dxa"/>
            <w:shd w:val="clear" w:color="auto" w:fill="auto"/>
          </w:tcPr>
          <w:p w14:paraId="3DCC3D16" w14:textId="77777777" w:rsidR="00727CC1" w:rsidRPr="00727CC1" w:rsidRDefault="00727CC1" w:rsidP="00727C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CC1" w:rsidRPr="00727CC1" w14:paraId="21FA7C3A" w14:textId="77777777" w:rsidTr="0048078C">
        <w:trPr>
          <w:trHeight w:val="707"/>
        </w:trPr>
        <w:tc>
          <w:tcPr>
            <w:tcW w:w="495" w:type="dxa"/>
            <w:tcBorders>
              <w:right w:val="nil"/>
            </w:tcBorders>
            <w:shd w:val="clear" w:color="auto" w:fill="auto"/>
          </w:tcPr>
          <w:p w14:paraId="26CD747A" w14:textId="77777777" w:rsidR="00727CC1" w:rsidRPr="00E452DB" w:rsidRDefault="00385BDB" w:rsidP="00DF45D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452DB">
              <w:rPr>
                <w:rFonts w:ascii="Arial" w:hAnsi="Arial" w:cs="Arial"/>
                <w:sz w:val="18"/>
                <w:szCs w:val="18"/>
              </w:rPr>
              <w:t>1</w:t>
            </w:r>
            <w:r w:rsidR="00DF45D3" w:rsidRPr="00E452DB">
              <w:rPr>
                <w:rFonts w:ascii="Arial" w:hAnsi="Arial" w:cs="Arial"/>
                <w:sz w:val="18"/>
                <w:szCs w:val="18"/>
              </w:rPr>
              <w:t>2</w:t>
            </w:r>
            <w:r w:rsidRPr="00E452D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670" w:type="dxa"/>
            <w:tcBorders>
              <w:left w:val="nil"/>
            </w:tcBorders>
            <w:shd w:val="clear" w:color="auto" w:fill="auto"/>
          </w:tcPr>
          <w:p w14:paraId="34544169" w14:textId="2AE26A5C" w:rsidR="00CB7D51" w:rsidRPr="00E452DB" w:rsidRDefault="00605A8E" w:rsidP="00F825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E452DB">
              <w:rPr>
                <w:rFonts w:ascii="Arial" w:hAnsi="Arial" w:cs="Arial"/>
                <w:sz w:val="18"/>
                <w:szCs w:val="18"/>
              </w:rPr>
              <w:t>Visitation</w:t>
            </w:r>
          </w:p>
          <w:p w14:paraId="19B9BC7A" w14:textId="3A3E6ACA" w:rsidR="00F8253D" w:rsidRPr="00E452DB" w:rsidRDefault="00F8253D" w:rsidP="00F825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E452DB">
              <w:rPr>
                <w:rFonts w:ascii="Arial" w:hAnsi="Arial" w:cs="Arial"/>
                <w:sz w:val="18"/>
                <w:szCs w:val="18"/>
              </w:rPr>
              <w:t>Non-COVID-19</w:t>
            </w:r>
            <w:r w:rsidR="00C07810">
              <w:rPr>
                <w:rFonts w:ascii="Arial" w:hAnsi="Arial" w:cs="Arial"/>
                <w:sz w:val="18"/>
                <w:szCs w:val="18"/>
              </w:rPr>
              <w:t xml:space="preserve"> Guidance</w:t>
            </w:r>
          </w:p>
          <w:p w14:paraId="21285E1C" w14:textId="24AF1FF5" w:rsidR="00727CC1" w:rsidRPr="00E452DB" w:rsidRDefault="002B0AA7" w:rsidP="002B0AA7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E452DB">
              <w:rPr>
                <w:rFonts w:ascii="Arial" w:hAnsi="Arial" w:cs="Arial"/>
                <w:sz w:val="18"/>
                <w:szCs w:val="18"/>
              </w:rPr>
              <w:t>Visitors to be advised of outbreak status in the facility and required to don appropriate PPE prior to visiting a resident/patient</w:t>
            </w:r>
            <w:r w:rsidR="00727CC1" w:rsidRPr="00E452D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D69ADED" w14:textId="18C3DFE1" w:rsidR="00F8253D" w:rsidRPr="00E452DB" w:rsidRDefault="00F8253D" w:rsidP="00F825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E452DB">
              <w:rPr>
                <w:rFonts w:ascii="Arial" w:hAnsi="Arial" w:cs="Arial"/>
                <w:sz w:val="18"/>
                <w:szCs w:val="18"/>
              </w:rPr>
              <w:t>COVID-19</w:t>
            </w:r>
            <w:r w:rsidR="00C078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7828">
              <w:rPr>
                <w:rFonts w:ascii="Arial" w:hAnsi="Arial" w:cs="Arial"/>
                <w:sz w:val="18"/>
                <w:szCs w:val="18"/>
              </w:rPr>
              <w:t>Guidance</w:t>
            </w:r>
          </w:p>
          <w:p w14:paraId="4F1D6E1E" w14:textId="11AD212F" w:rsidR="00F8253D" w:rsidRPr="00E452DB" w:rsidRDefault="00F8253D" w:rsidP="002B0AA7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E452DB">
              <w:rPr>
                <w:rFonts w:ascii="Arial" w:hAnsi="Arial" w:cs="Arial"/>
                <w:sz w:val="18"/>
                <w:szCs w:val="18"/>
              </w:rPr>
              <w:t>Only essential visitors are allowed for the duration of the outbreak</w:t>
            </w:r>
            <w:r w:rsidR="00E452DB" w:rsidRPr="00E452DB">
              <w:rPr>
                <w:rFonts w:ascii="Arial" w:hAnsi="Arial" w:cs="Arial"/>
                <w:sz w:val="18"/>
                <w:szCs w:val="18"/>
              </w:rPr>
              <w:t xml:space="preserve"> and required to don appropriate PPE prior to visiting resident/patient</w:t>
            </w:r>
            <w:r w:rsidRPr="00E452D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19CBB88" w14:textId="2C49E916" w:rsidR="00CB7D51" w:rsidRPr="00E452DB" w:rsidRDefault="00CB7D51" w:rsidP="00CB7D51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E452DB">
              <w:rPr>
                <w:rFonts w:ascii="Arial" w:hAnsi="Arial" w:cs="Arial"/>
                <w:sz w:val="18"/>
                <w:szCs w:val="18"/>
              </w:rPr>
              <w:t>Additional restrictions to visiting may be required during any outbreak. To be discussed by OMT and SMDHU.</w:t>
            </w:r>
          </w:p>
        </w:tc>
        <w:tc>
          <w:tcPr>
            <w:tcW w:w="1373" w:type="dxa"/>
            <w:shd w:val="clear" w:color="auto" w:fill="auto"/>
          </w:tcPr>
          <w:p w14:paraId="34D31C89" w14:textId="77777777" w:rsidR="00727CC1" w:rsidRPr="00727CC1" w:rsidRDefault="00727CC1" w:rsidP="00727C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A8E" w:rsidRPr="00727CC1" w14:paraId="3F253270" w14:textId="77777777" w:rsidTr="0048078C">
        <w:trPr>
          <w:trHeight w:val="707"/>
        </w:trPr>
        <w:tc>
          <w:tcPr>
            <w:tcW w:w="495" w:type="dxa"/>
            <w:tcBorders>
              <w:right w:val="nil"/>
            </w:tcBorders>
            <w:shd w:val="clear" w:color="auto" w:fill="auto"/>
          </w:tcPr>
          <w:p w14:paraId="217C8959" w14:textId="77777777" w:rsidR="00605A8E" w:rsidRPr="003239E7" w:rsidRDefault="00DF45D3" w:rsidP="00727CC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239E7">
              <w:rPr>
                <w:rFonts w:ascii="Arial" w:hAnsi="Arial" w:cs="Arial"/>
                <w:sz w:val="18"/>
                <w:szCs w:val="18"/>
              </w:rPr>
              <w:t>13</w:t>
            </w:r>
            <w:r w:rsidR="00605A8E" w:rsidRPr="003239E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670" w:type="dxa"/>
            <w:tcBorders>
              <w:left w:val="nil"/>
            </w:tcBorders>
            <w:shd w:val="clear" w:color="auto" w:fill="auto"/>
          </w:tcPr>
          <w:p w14:paraId="41ADF1B9" w14:textId="77777777" w:rsidR="00605A8E" w:rsidRPr="003239E7" w:rsidRDefault="00605A8E" w:rsidP="00605A8E">
            <w:pPr>
              <w:tabs>
                <w:tab w:val="left" w:pos="1956"/>
              </w:tabs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39E7">
              <w:rPr>
                <w:rFonts w:ascii="Arial" w:hAnsi="Arial" w:cs="Arial"/>
                <w:sz w:val="18"/>
                <w:szCs w:val="18"/>
              </w:rPr>
              <w:t>Enhanced and appropriate environmental cleaning and disinfection during outbreak.</w:t>
            </w:r>
          </w:p>
          <w:p w14:paraId="491F309B" w14:textId="4944CB17" w:rsidR="00605A8E" w:rsidRPr="003239E7" w:rsidRDefault="00605A8E" w:rsidP="00605A8E">
            <w:pPr>
              <w:pStyle w:val="ListParagraph"/>
              <w:numPr>
                <w:ilvl w:val="0"/>
                <w:numId w:val="6"/>
              </w:numPr>
              <w:tabs>
                <w:tab w:val="left" w:pos="1956"/>
              </w:tabs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39E7">
              <w:rPr>
                <w:rFonts w:ascii="Arial" w:hAnsi="Arial" w:cs="Arial"/>
                <w:sz w:val="18"/>
                <w:szCs w:val="18"/>
              </w:rPr>
              <w:t xml:space="preserve">Cleaning </w:t>
            </w:r>
            <w:r w:rsidR="00CB7D51">
              <w:rPr>
                <w:rFonts w:ascii="Arial" w:hAnsi="Arial" w:cs="Arial"/>
                <w:sz w:val="18"/>
                <w:szCs w:val="18"/>
              </w:rPr>
              <w:t xml:space="preserve">to be </w:t>
            </w:r>
            <w:r w:rsidRPr="003239E7">
              <w:rPr>
                <w:rFonts w:ascii="Arial" w:hAnsi="Arial" w:cs="Arial"/>
                <w:sz w:val="18"/>
                <w:szCs w:val="18"/>
              </w:rPr>
              <w:t>followed by adequate disinfection.</w:t>
            </w:r>
          </w:p>
          <w:p w14:paraId="4C988173" w14:textId="77777777" w:rsidR="00605A8E" w:rsidRPr="003239E7" w:rsidRDefault="00605A8E" w:rsidP="00605A8E">
            <w:pPr>
              <w:pStyle w:val="ListParagraph"/>
              <w:numPr>
                <w:ilvl w:val="0"/>
                <w:numId w:val="6"/>
              </w:numPr>
              <w:tabs>
                <w:tab w:val="left" w:pos="1956"/>
              </w:tabs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39E7">
              <w:rPr>
                <w:rFonts w:ascii="Arial" w:hAnsi="Arial" w:cs="Arial"/>
                <w:sz w:val="18"/>
                <w:szCs w:val="18"/>
              </w:rPr>
              <w:t>Appropriate disinfectant utilized and as per manufacturers’ directions including contact times.</w:t>
            </w:r>
          </w:p>
          <w:p w14:paraId="11AAFC23" w14:textId="77777777" w:rsidR="00057431" w:rsidRPr="003239E7" w:rsidRDefault="00605A8E" w:rsidP="00CB7D51">
            <w:pPr>
              <w:pStyle w:val="ListParagraph"/>
              <w:numPr>
                <w:ilvl w:val="0"/>
                <w:numId w:val="6"/>
              </w:numPr>
              <w:tabs>
                <w:tab w:val="left" w:pos="195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3239E7">
              <w:rPr>
                <w:rFonts w:ascii="Arial" w:hAnsi="Arial" w:cs="Arial"/>
                <w:sz w:val="18"/>
                <w:szCs w:val="18"/>
              </w:rPr>
              <w:t xml:space="preserve">Increased frequency of cleaning and disinfecting is required for high touch surfaces, objects, and clients' environments.  </w:t>
            </w:r>
          </w:p>
          <w:p w14:paraId="679778A5" w14:textId="77777777" w:rsidR="00605A8E" w:rsidRPr="003239E7" w:rsidRDefault="00605A8E" w:rsidP="00057431">
            <w:pPr>
              <w:pStyle w:val="ListParagraph"/>
              <w:numPr>
                <w:ilvl w:val="0"/>
                <w:numId w:val="6"/>
              </w:numPr>
              <w:tabs>
                <w:tab w:val="left" w:pos="1956"/>
              </w:tabs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39E7">
              <w:rPr>
                <w:rFonts w:ascii="Arial" w:hAnsi="Arial" w:cs="Arial"/>
                <w:sz w:val="18"/>
                <w:szCs w:val="18"/>
              </w:rPr>
              <w:t>Cleaning and disinfection of multi-use equipment should be completed after each use.</w:t>
            </w:r>
          </w:p>
        </w:tc>
        <w:tc>
          <w:tcPr>
            <w:tcW w:w="1373" w:type="dxa"/>
            <w:shd w:val="clear" w:color="auto" w:fill="auto"/>
          </w:tcPr>
          <w:p w14:paraId="38FC390B" w14:textId="77777777" w:rsidR="00605A8E" w:rsidRPr="00727CC1" w:rsidRDefault="00605A8E" w:rsidP="00727C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78C" w:rsidRPr="00727CC1" w14:paraId="48B7055B" w14:textId="77777777" w:rsidTr="0048078C">
        <w:trPr>
          <w:trHeight w:val="707"/>
        </w:trPr>
        <w:tc>
          <w:tcPr>
            <w:tcW w:w="495" w:type="dxa"/>
            <w:tcBorders>
              <w:right w:val="nil"/>
            </w:tcBorders>
            <w:shd w:val="clear" w:color="auto" w:fill="auto"/>
          </w:tcPr>
          <w:p w14:paraId="5CA1E4EA" w14:textId="77777777" w:rsidR="0048078C" w:rsidRPr="003239E7" w:rsidRDefault="0048078C" w:rsidP="0048078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239E7">
              <w:rPr>
                <w:rFonts w:ascii="Arial" w:hAnsi="Arial" w:cs="Arial"/>
                <w:sz w:val="18"/>
                <w:szCs w:val="18"/>
              </w:rPr>
              <w:t>14.</w:t>
            </w:r>
          </w:p>
          <w:p w14:paraId="49D7BAA7" w14:textId="77777777" w:rsidR="0048078C" w:rsidRPr="003239E7" w:rsidRDefault="0048078C" w:rsidP="0048078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1B2268C7" w14:textId="77777777" w:rsidR="0048078C" w:rsidRPr="003239E7" w:rsidRDefault="0048078C" w:rsidP="0048078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0" w:type="dxa"/>
            <w:tcBorders>
              <w:left w:val="nil"/>
            </w:tcBorders>
            <w:shd w:val="clear" w:color="auto" w:fill="auto"/>
          </w:tcPr>
          <w:p w14:paraId="199F7061" w14:textId="708E7530" w:rsidR="0048078C" w:rsidRPr="003239E7" w:rsidRDefault="0048078C" w:rsidP="0048078C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3239E7">
              <w:rPr>
                <w:rFonts w:ascii="Arial" w:hAnsi="Arial" w:cs="Arial"/>
                <w:sz w:val="18"/>
                <w:szCs w:val="18"/>
              </w:rPr>
              <w:t>Transfers, discharges, appointments</w:t>
            </w:r>
            <w:r w:rsidR="004C77EA">
              <w:rPr>
                <w:rFonts w:ascii="Arial" w:hAnsi="Arial" w:cs="Arial"/>
                <w:sz w:val="18"/>
                <w:szCs w:val="18"/>
              </w:rPr>
              <w:t>,</w:t>
            </w:r>
            <w:r w:rsidRPr="003239E7">
              <w:rPr>
                <w:rFonts w:ascii="Arial" w:hAnsi="Arial" w:cs="Arial"/>
                <w:sz w:val="18"/>
                <w:szCs w:val="18"/>
              </w:rPr>
              <w:t xml:space="preserve"> and admissions should be done in consultation with SMDHU</w:t>
            </w:r>
          </w:p>
          <w:p w14:paraId="121A5CFB" w14:textId="3990515F" w:rsidR="0048078C" w:rsidRPr="004C77EA" w:rsidRDefault="00CB7D51" w:rsidP="004C77EA">
            <w:pPr>
              <w:pStyle w:val="ListParagraph"/>
              <w:numPr>
                <w:ilvl w:val="0"/>
                <w:numId w:val="7"/>
              </w:num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3239E7">
              <w:rPr>
                <w:rFonts w:ascii="Arial" w:hAnsi="Arial" w:cs="Arial"/>
                <w:sz w:val="18"/>
                <w:szCs w:val="18"/>
              </w:rPr>
              <w:t xml:space="preserve">Utilize </w:t>
            </w:r>
            <w:hyperlink r:id="rId10" w:history="1">
              <w:r w:rsidRPr="003239E7">
                <w:rPr>
                  <w:rStyle w:val="Hyperlink"/>
                  <w:rFonts w:ascii="Arial" w:hAnsi="Arial" w:cs="Arial"/>
                  <w:sz w:val="18"/>
                  <w:szCs w:val="18"/>
                </w:rPr>
                <w:t>NSM LHIN respiratory and gastroenteritis outbreak transfer repatriation documents</w:t>
              </w:r>
            </w:hyperlink>
            <w:r w:rsidRPr="003239E7">
              <w:rPr>
                <w:rFonts w:ascii="Arial" w:hAnsi="Arial" w:cs="Arial"/>
                <w:sz w:val="18"/>
                <w:szCs w:val="18"/>
              </w:rPr>
              <w:t xml:space="preserve"> as guidance for all other scenarios including other healthcare institutions in outbreak</w:t>
            </w:r>
          </w:p>
        </w:tc>
        <w:tc>
          <w:tcPr>
            <w:tcW w:w="1373" w:type="dxa"/>
            <w:shd w:val="clear" w:color="auto" w:fill="auto"/>
          </w:tcPr>
          <w:p w14:paraId="186DD5FD" w14:textId="77777777" w:rsidR="0048078C" w:rsidRPr="00727CC1" w:rsidRDefault="0048078C" w:rsidP="0048078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78C" w:rsidRPr="00727CC1" w14:paraId="1AA56A61" w14:textId="77777777" w:rsidTr="0048078C">
        <w:trPr>
          <w:trHeight w:val="707"/>
        </w:trPr>
        <w:tc>
          <w:tcPr>
            <w:tcW w:w="495" w:type="dxa"/>
            <w:tcBorders>
              <w:right w:val="nil"/>
            </w:tcBorders>
            <w:shd w:val="clear" w:color="auto" w:fill="auto"/>
          </w:tcPr>
          <w:p w14:paraId="4C620FD7" w14:textId="1169DAC5" w:rsidR="0048078C" w:rsidRPr="00CF38DC" w:rsidRDefault="0048078C" w:rsidP="0048078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F38DC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9670" w:type="dxa"/>
            <w:tcBorders>
              <w:left w:val="nil"/>
            </w:tcBorders>
            <w:shd w:val="clear" w:color="auto" w:fill="auto"/>
          </w:tcPr>
          <w:p w14:paraId="736BD5DA" w14:textId="507C81DA" w:rsidR="00A25B31" w:rsidRPr="007319D4" w:rsidRDefault="0048078C" w:rsidP="00A25B31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7319D4">
              <w:rPr>
                <w:rFonts w:ascii="Arial" w:hAnsi="Arial" w:cs="Arial"/>
                <w:sz w:val="18"/>
                <w:szCs w:val="18"/>
              </w:rPr>
              <w:t xml:space="preserve">Limiting </w:t>
            </w:r>
            <w:r w:rsidR="00AA6AFA" w:rsidRPr="007319D4">
              <w:rPr>
                <w:rFonts w:ascii="Arial" w:hAnsi="Arial" w:cs="Arial"/>
                <w:sz w:val="18"/>
                <w:szCs w:val="18"/>
              </w:rPr>
              <w:t>W</w:t>
            </w:r>
            <w:r w:rsidRPr="007319D4">
              <w:rPr>
                <w:rFonts w:ascii="Arial" w:hAnsi="Arial" w:cs="Arial"/>
                <w:sz w:val="18"/>
                <w:szCs w:val="18"/>
              </w:rPr>
              <w:t xml:space="preserve">ork </w:t>
            </w:r>
            <w:r w:rsidR="00AA6AFA" w:rsidRPr="007319D4">
              <w:rPr>
                <w:rFonts w:ascii="Arial" w:hAnsi="Arial" w:cs="Arial"/>
                <w:sz w:val="18"/>
                <w:szCs w:val="18"/>
              </w:rPr>
              <w:t>L</w:t>
            </w:r>
            <w:r w:rsidRPr="007319D4">
              <w:rPr>
                <w:rFonts w:ascii="Arial" w:hAnsi="Arial" w:cs="Arial"/>
                <w:sz w:val="18"/>
                <w:szCs w:val="18"/>
              </w:rPr>
              <w:t>ocations</w:t>
            </w:r>
          </w:p>
          <w:p w14:paraId="03CCFFD8" w14:textId="45C352F3" w:rsidR="00AA6AFA" w:rsidRPr="007319D4" w:rsidRDefault="00AA6AFA" w:rsidP="00AA6AFA">
            <w:pPr>
              <w:pStyle w:val="ListParagraph"/>
              <w:numPr>
                <w:ilvl w:val="0"/>
                <w:numId w:val="11"/>
              </w:numPr>
              <w:tabs>
                <w:tab w:val="left" w:pos="195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7319D4">
              <w:rPr>
                <w:rFonts w:ascii="Arial" w:hAnsi="Arial" w:cs="Arial"/>
                <w:sz w:val="18"/>
                <w:szCs w:val="18"/>
              </w:rPr>
              <w:t xml:space="preserve">Staff </w:t>
            </w:r>
            <w:r w:rsidR="009359FD">
              <w:rPr>
                <w:rFonts w:ascii="Arial" w:hAnsi="Arial" w:cs="Arial"/>
                <w:sz w:val="18"/>
                <w:szCs w:val="18"/>
              </w:rPr>
              <w:t xml:space="preserve">are </w:t>
            </w:r>
            <w:r w:rsidR="004639BB">
              <w:rPr>
                <w:rFonts w:ascii="Arial" w:hAnsi="Arial" w:cs="Arial"/>
                <w:sz w:val="18"/>
                <w:szCs w:val="18"/>
              </w:rPr>
              <w:t xml:space="preserve">recommended </w:t>
            </w:r>
            <w:r w:rsidR="004639BB" w:rsidRPr="007319D4">
              <w:rPr>
                <w:rFonts w:ascii="Arial" w:hAnsi="Arial" w:cs="Arial"/>
                <w:sz w:val="18"/>
                <w:szCs w:val="18"/>
              </w:rPr>
              <w:t>not</w:t>
            </w:r>
            <w:r w:rsidRPr="007319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7D32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Pr="007319D4">
              <w:rPr>
                <w:rFonts w:ascii="Arial" w:hAnsi="Arial" w:cs="Arial"/>
                <w:sz w:val="18"/>
                <w:szCs w:val="18"/>
              </w:rPr>
              <w:t xml:space="preserve">work in other facilities or high-risk settings for the duration of the outbreak </w:t>
            </w:r>
            <w:proofErr w:type="gramStart"/>
            <w:r w:rsidRPr="007319D4">
              <w:rPr>
                <w:rFonts w:ascii="Arial" w:hAnsi="Arial" w:cs="Arial"/>
                <w:sz w:val="18"/>
                <w:szCs w:val="18"/>
              </w:rPr>
              <w:t>in order to</w:t>
            </w:r>
            <w:proofErr w:type="gramEnd"/>
            <w:r w:rsidRPr="007319D4">
              <w:rPr>
                <w:rFonts w:ascii="Arial" w:hAnsi="Arial" w:cs="Arial"/>
                <w:sz w:val="18"/>
                <w:szCs w:val="18"/>
              </w:rPr>
              <w:t xml:space="preserve"> limit transmission to other facilities.</w:t>
            </w:r>
          </w:p>
          <w:p w14:paraId="6A7FA4E8" w14:textId="77777777" w:rsidR="00AA6AFA" w:rsidRPr="007319D4" w:rsidRDefault="00AA6AFA" w:rsidP="00AA6AFA">
            <w:pPr>
              <w:pStyle w:val="ListParagraph"/>
              <w:numPr>
                <w:ilvl w:val="0"/>
                <w:numId w:val="11"/>
              </w:numPr>
              <w:tabs>
                <w:tab w:val="left" w:pos="195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7319D4">
              <w:rPr>
                <w:rFonts w:ascii="Arial" w:hAnsi="Arial" w:cs="Arial"/>
                <w:sz w:val="18"/>
                <w:szCs w:val="18"/>
              </w:rPr>
              <w:t>Staff should advise their employer that they have been working in a facility at which there is an outbreak.</w:t>
            </w:r>
          </w:p>
          <w:p w14:paraId="6C7E4DEB" w14:textId="5692C947" w:rsidR="00C7575A" w:rsidRPr="007319D4" w:rsidRDefault="00C7575A" w:rsidP="00DC4D98">
            <w:pPr>
              <w:tabs>
                <w:tab w:val="left" w:pos="195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7319D4">
              <w:rPr>
                <w:rFonts w:ascii="Arial" w:hAnsi="Arial" w:cs="Arial"/>
                <w:sz w:val="18"/>
                <w:szCs w:val="18"/>
              </w:rPr>
              <w:t xml:space="preserve">INFLUENZA </w:t>
            </w:r>
            <w:r w:rsidR="00167828">
              <w:rPr>
                <w:rFonts w:ascii="Arial" w:hAnsi="Arial" w:cs="Arial"/>
                <w:sz w:val="18"/>
                <w:szCs w:val="18"/>
              </w:rPr>
              <w:t>Guidance</w:t>
            </w:r>
          </w:p>
          <w:p w14:paraId="1EDFE598" w14:textId="77777777" w:rsidR="00AA6AFA" w:rsidRPr="007319D4" w:rsidRDefault="00AA6AFA" w:rsidP="00AA6AFA">
            <w:pPr>
              <w:pStyle w:val="ListParagraph"/>
              <w:numPr>
                <w:ilvl w:val="0"/>
                <w:numId w:val="11"/>
              </w:numPr>
              <w:tabs>
                <w:tab w:val="left" w:pos="195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7319D4">
              <w:rPr>
                <w:rFonts w:ascii="Arial" w:hAnsi="Arial" w:cs="Arial"/>
                <w:sz w:val="18"/>
                <w:szCs w:val="18"/>
              </w:rPr>
              <w:t xml:space="preserve">Staff protected by either immunization (at least two weeks prior to outbreak declaration) or antivirals have no restrictions on their ability to work at other facilities.  </w:t>
            </w:r>
          </w:p>
          <w:p w14:paraId="0E77C613" w14:textId="5DD8B074" w:rsidR="00AA6AFA" w:rsidRPr="007319D4" w:rsidRDefault="00AA6AFA" w:rsidP="00AA6AFA">
            <w:pPr>
              <w:pStyle w:val="ListParagraph"/>
              <w:numPr>
                <w:ilvl w:val="0"/>
                <w:numId w:val="11"/>
              </w:numPr>
              <w:tabs>
                <w:tab w:val="left" w:pos="195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7319D4">
              <w:rPr>
                <w:rFonts w:ascii="Arial" w:hAnsi="Arial" w:cs="Arial"/>
                <w:sz w:val="18"/>
                <w:szCs w:val="18"/>
              </w:rPr>
              <w:t xml:space="preserve">Unimmunized staff not receiving prophylactic therapy should wait one incubation period (3days) from the last day that they worked at the outbreak facility </w:t>
            </w:r>
            <w:r w:rsidR="00175580" w:rsidRPr="007319D4">
              <w:rPr>
                <w:rFonts w:ascii="Arial" w:hAnsi="Arial" w:cs="Arial"/>
                <w:sz w:val="18"/>
                <w:szCs w:val="18"/>
              </w:rPr>
              <w:t>prior</w:t>
            </w:r>
            <w:r w:rsidRPr="007319D4">
              <w:rPr>
                <w:rFonts w:ascii="Arial" w:hAnsi="Arial" w:cs="Arial"/>
                <w:sz w:val="18"/>
                <w:szCs w:val="18"/>
              </w:rPr>
              <w:t xml:space="preserve"> to working in a non-outbreak facility however, unimmunized staff on </w:t>
            </w:r>
            <w:r w:rsidR="00175580" w:rsidRPr="007319D4">
              <w:rPr>
                <w:rFonts w:ascii="Arial" w:hAnsi="Arial" w:cs="Arial"/>
                <w:sz w:val="18"/>
                <w:szCs w:val="18"/>
              </w:rPr>
              <w:t>antiviral</w:t>
            </w:r>
            <w:r w:rsidRPr="007319D4">
              <w:rPr>
                <w:rFonts w:ascii="Arial" w:hAnsi="Arial" w:cs="Arial"/>
                <w:sz w:val="18"/>
                <w:szCs w:val="18"/>
              </w:rPr>
              <w:t xml:space="preserve"> prophylactic therapy that wish to work at another facility may do so provided they are </w:t>
            </w:r>
            <w:proofErr w:type="gramStart"/>
            <w:r w:rsidRPr="007319D4">
              <w:rPr>
                <w:rFonts w:ascii="Arial" w:hAnsi="Arial" w:cs="Arial"/>
                <w:sz w:val="18"/>
                <w:szCs w:val="18"/>
              </w:rPr>
              <w:t>asymptomatic</w:t>
            </w:r>
            <w:proofErr w:type="gramEnd"/>
            <w:r w:rsidRPr="007319D4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CD5340">
              <w:rPr>
                <w:rFonts w:ascii="Arial" w:hAnsi="Arial" w:cs="Arial"/>
                <w:sz w:val="18"/>
                <w:szCs w:val="18"/>
              </w:rPr>
              <w:t xml:space="preserve">this </w:t>
            </w:r>
            <w:r w:rsidRPr="007319D4">
              <w:rPr>
                <w:rFonts w:ascii="Arial" w:hAnsi="Arial" w:cs="Arial"/>
                <w:sz w:val="18"/>
                <w:szCs w:val="18"/>
              </w:rPr>
              <w:t>doesn’t conflict with the receiving facility policies or direction provided by the PHU.</w:t>
            </w:r>
          </w:p>
          <w:p w14:paraId="65071E80" w14:textId="43C93D62" w:rsidR="00A02A09" w:rsidRPr="007319D4" w:rsidRDefault="00C7575A" w:rsidP="00A02A09">
            <w:pPr>
              <w:tabs>
                <w:tab w:val="left" w:pos="195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7319D4">
              <w:rPr>
                <w:rFonts w:ascii="Arial" w:hAnsi="Arial" w:cs="Arial"/>
                <w:sz w:val="18"/>
                <w:szCs w:val="18"/>
              </w:rPr>
              <w:t>COVID-19</w:t>
            </w:r>
            <w:r w:rsidR="00167828">
              <w:rPr>
                <w:rFonts w:ascii="Arial" w:hAnsi="Arial" w:cs="Arial"/>
                <w:sz w:val="18"/>
                <w:szCs w:val="18"/>
              </w:rPr>
              <w:t xml:space="preserve"> Guidance</w:t>
            </w:r>
          </w:p>
          <w:p w14:paraId="690678F4" w14:textId="08C3696A" w:rsidR="00CF38DC" w:rsidRPr="00C7575A" w:rsidRDefault="00C7575A" w:rsidP="00DC4D98">
            <w:pPr>
              <w:pStyle w:val="ListParagraph"/>
              <w:numPr>
                <w:ilvl w:val="0"/>
                <w:numId w:val="11"/>
              </w:numPr>
              <w:tabs>
                <w:tab w:val="left" w:pos="195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7319D4">
              <w:rPr>
                <w:rFonts w:ascii="Arial" w:hAnsi="Arial" w:cs="Arial"/>
                <w:sz w:val="18"/>
                <w:szCs w:val="18"/>
              </w:rPr>
              <w:t>If</w:t>
            </w:r>
            <w:r w:rsidR="00175580" w:rsidRPr="007319D4">
              <w:rPr>
                <w:rFonts w:ascii="Arial" w:hAnsi="Arial" w:cs="Arial"/>
                <w:sz w:val="18"/>
                <w:szCs w:val="18"/>
              </w:rPr>
              <w:t xml:space="preserve"> staff</w:t>
            </w:r>
            <w:r w:rsidRPr="007319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25B31" w:rsidRPr="007319D4">
              <w:rPr>
                <w:rFonts w:ascii="Arial" w:hAnsi="Arial" w:cs="Arial"/>
                <w:sz w:val="18"/>
                <w:szCs w:val="18"/>
              </w:rPr>
              <w:t>must work in multiple facilities</w:t>
            </w:r>
            <w:r w:rsidRPr="007319D4">
              <w:rPr>
                <w:rFonts w:ascii="Arial" w:hAnsi="Arial" w:cs="Arial"/>
                <w:sz w:val="18"/>
                <w:szCs w:val="18"/>
              </w:rPr>
              <w:t>, staff should be assigned to work in an outbreak area at the second location, be actively screened every day and be rapid antigen tested every day</w:t>
            </w:r>
            <w:r w:rsidR="00175580" w:rsidRPr="007319D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73" w:type="dxa"/>
            <w:shd w:val="clear" w:color="auto" w:fill="auto"/>
          </w:tcPr>
          <w:p w14:paraId="385B1E47" w14:textId="77777777" w:rsidR="0048078C" w:rsidRPr="00727CC1" w:rsidRDefault="0048078C" w:rsidP="0048078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78C" w:rsidRPr="00727CC1" w14:paraId="2F884901" w14:textId="77777777" w:rsidTr="0048078C">
        <w:trPr>
          <w:trHeight w:val="707"/>
        </w:trPr>
        <w:tc>
          <w:tcPr>
            <w:tcW w:w="495" w:type="dxa"/>
            <w:tcBorders>
              <w:right w:val="nil"/>
            </w:tcBorders>
            <w:shd w:val="clear" w:color="auto" w:fill="auto"/>
          </w:tcPr>
          <w:p w14:paraId="1FDA622B" w14:textId="04C2AD94" w:rsidR="0048078C" w:rsidRPr="003239E7" w:rsidRDefault="0048078C" w:rsidP="0048078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239E7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9670" w:type="dxa"/>
            <w:tcBorders>
              <w:left w:val="nil"/>
            </w:tcBorders>
            <w:shd w:val="clear" w:color="auto" w:fill="auto"/>
          </w:tcPr>
          <w:p w14:paraId="7732F92B" w14:textId="77777777" w:rsidR="0048078C" w:rsidRPr="003239E7" w:rsidRDefault="0048078C" w:rsidP="0048078C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3239E7">
              <w:rPr>
                <w:rFonts w:ascii="Arial" w:hAnsi="Arial" w:cs="Arial"/>
                <w:sz w:val="18"/>
                <w:szCs w:val="18"/>
              </w:rPr>
              <w:t>Auditing</w:t>
            </w:r>
          </w:p>
          <w:p w14:paraId="798DECD1" w14:textId="77777777" w:rsidR="0048078C" w:rsidRPr="003239E7" w:rsidRDefault="0048078C" w:rsidP="0048078C">
            <w:pPr>
              <w:pStyle w:val="ListParagraph"/>
              <w:numPr>
                <w:ilvl w:val="0"/>
                <w:numId w:val="11"/>
              </w:num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3239E7">
              <w:rPr>
                <w:rFonts w:ascii="Arial" w:hAnsi="Arial" w:cs="Arial"/>
                <w:sz w:val="18"/>
                <w:szCs w:val="18"/>
              </w:rPr>
              <w:t>IPAC practices such as PPE donning/doffing; hand hygiene; environmental cleaning; and appropriate use of face coverings should be audited on affected units/floors routinely during an outbreak.</w:t>
            </w:r>
          </w:p>
          <w:p w14:paraId="17F4C17F" w14:textId="54C2F40D" w:rsidR="0048078C" w:rsidRPr="003239E7" w:rsidRDefault="0048078C" w:rsidP="0048078C">
            <w:pPr>
              <w:pStyle w:val="ListParagraph"/>
              <w:numPr>
                <w:ilvl w:val="0"/>
                <w:numId w:val="11"/>
              </w:numPr>
              <w:tabs>
                <w:tab w:val="left" w:pos="1956"/>
              </w:tabs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39E7">
              <w:rPr>
                <w:rFonts w:ascii="Arial" w:hAnsi="Arial" w:cs="Arial"/>
                <w:sz w:val="18"/>
                <w:szCs w:val="18"/>
              </w:rPr>
              <w:t xml:space="preserve">Compliance with </w:t>
            </w:r>
            <w:proofErr w:type="spellStart"/>
            <w:r w:rsidRPr="003239E7">
              <w:rPr>
                <w:rFonts w:ascii="Arial" w:hAnsi="Arial" w:cs="Arial"/>
                <w:sz w:val="18"/>
                <w:szCs w:val="18"/>
              </w:rPr>
              <w:t>cohorting</w:t>
            </w:r>
            <w:proofErr w:type="spellEnd"/>
            <w:r w:rsidRPr="003239E7">
              <w:rPr>
                <w:rFonts w:ascii="Arial" w:hAnsi="Arial" w:cs="Arial"/>
                <w:sz w:val="18"/>
                <w:szCs w:val="18"/>
              </w:rPr>
              <w:t>, particularly for temporary staff, is also recommended.</w:t>
            </w:r>
          </w:p>
        </w:tc>
        <w:tc>
          <w:tcPr>
            <w:tcW w:w="1373" w:type="dxa"/>
            <w:shd w:val="clear" w:color="auto" w:fill="auto"/>
          </w:tcPr>
          <w:p w14:paraId="23AFEF9E" w14:textId="77777777" w:rsidR="0048078C" w:rsidRPr="00727CC1" w:rsidRDefault="0048078C" w:rsidP="0048078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78C" w:rsidRPr="00727CC1" w14:paraId="47630B19" w14:textId="77777777" w:rsidTr="0048078C">
        <w:trPr>
          <w:trHeight w:val="707"/>
        </w:trPr>
        <w:tc>
          <w:tcPr>
            <w:tcW w:w="495" w:type="dxa"/>
            <w:tcBorders>
              <w:right w:val="nil"/>
            </w:tcBorders>
            <w:shd w:val="clear" w:color="auto" w:fill="auto"/>
          </w:tcPr>
          <w:p w14:paraId="749306A0" w14:textId="6ABE4358" w:rsidR="0048078C" w:rsidRPr="003239E7" w:rsidRDefault="0048078C" w:rsidP="0048078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239E7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9670" w:type="dxa"/>
            <w:tcBorders>
              <w:left w:val="nil"/>
            </w:tcBorders>
            <w:shd w:val="clear" w:color="auto" w:fill="auto"/>
          </w:tcPr>
          <w:p w14:paraId="64CE7759" w14:textId="77777777" w:rsidR="0048078C" w:rsidRPr="003239E7" w:rsidRDefault="0048078C" w:rsidP="0048078C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3239E7">
              <w:rPr>
                <w:rFonts w:ascii="Arial" w:hAnsi="Arial" w:cs="Arial"/>
                <w:sz w:val="18"/>
                <w:szCs w:val="18"/>
              </w:rPr>
              <w:t>Testing</w:t>
            </w:r>
          </w:p>
          <w:p w14:paraId="567263E5" w14:textId="1838E354" w:rsidR="0048078C" w:rsidRPr="003239E7" w:rsidRDefault="0048078C" w:rsidP="0048078C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3239E7">
              <w:rPr>
                <w:rFonts w:ascii="Arial" w:hAnsi="Arial" w:cs="Arial"/>
                <w:sz w:val="18"/>
                <w:szCs w:val="18"/>
              </w:rPr>
              <w:t xml:space="preserve">The first </w:t>
            </w:r>
            <w:r w:rsidR="00CB7D51">
              <w:rPr>
                <w:rFonts w:ascii="Arial" w:hAnsi="Arial" w:cs="Arial"/>
                <w:sz w:val="18"/>
                <w:szCs w:val="18"/>
              </w:rPr>
              <w:t>four</w:t>
            </w:r>
            <w:r w:rsidRPr="003239E7">
              <w:rPr>
                <w:rFonts w:ascii="Arial" w:hAnsi="Arial" w:cs="Arial"/>
                <w:sz w:val="18"/>
                <w:szCs w:val="18"/>
              </w:rPr>
              <w:t xml:space="preserve"> samples in all respiratory outbreaks will be tested for Influenza A, Influenza </w:t>
            </w:r>
            <w:proofErr w:type="gramStart"/>
            <w:r w:rsidRPr="003239E7">
              <w:rPr>
                <w:rFonts w:ascii="Arial" w:hAnsi="Arial" w:cs="Arial"/>
                <w:sz w:val="18"/>
                <w:szCs w:val="18"/>
              </w:rPr>
              <w:t>B</w:t>
            </w:r>
            <w:proofErr w:type="gramEnd"/>
            <w:r w:rsidRPr="003239E7">
              <w:rPr>
                <w:rFonts w:ascii="Arial" w:hAnsi="Arial" w:cs="Arial"/>
                <w:sz w:val="18"/>
                <w:szCs w:val="18"/>
              </w:rPr>
              <w:t xml:space="preserve"> and other respiratory virus</w:t>
            </w:r>
            <w:r w:rsidR="00CB7D51">
              <w:rPr>
                <w:rFonts w:ascii="Arial" w:hAnsi="Arial" w:cs="Arial"/>
                <w:sz w:val="18"/>
                <w:szCs w:val="18"/>
              </w:rPr>
              <w:t xml:space="preserve">es through </w:t>
            </w:r>
            <w:r w:rsidRPr="003239E7">
              <w:rPr>
                <w:rFonts w:ascii="Arial" w:hAnsi="Arial" w:cs="Arial"/>
                <w:sz w:val="18"/>
                <w:szCs w:val="18"/>
              </w:rPr>
              <w:t>Public Health Ontario Lab (PHOL)</w:t>
            </w:r>
          </w:p>
          <w:p w14:paraId="7D6F3D3A" w14:textId="60730992" w:rsidR="0048078C" w:rsidRPr="003239E7" w:rsidRDefault="000B416A" w:rsidP="0048078C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CF5C6B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 xml:space="preserve"> COVID-19 - </w:t>
            </w:r>
            <w:r w:rsidR="0048078C" w:rsidRPr="003239E7">
              <w:rPr>
                <w:rFonts w:ascii="Arial" w:hAnsi="Arial" w:cs="Arial"/>
                <w:sz w:val="18"/>
                <w:szCs w:val="18"/>
              </w:rPr>
              <w:t xml:space="preserve">staff and patients/residents in the affected unit(s) of the LTCH and </w:t>
            </w:r>
            <w:proofErr w:type="spellStart"/>
            <w:r w:rsidR="0048078C" w:rsidRPr="003239E7">
              <w:rPr>
                <w:rFonts w:ascii="Arial" w:hAnsi="Arial" w:cs="Arial"/>
                <w:sz w:val="18"/>
                <w:szCs w:val="18"/>
              </w:rPr>
              <w:t>RHome</w:t>
            </w:r>
            <w:proofErr w:type="spellEnd"/>
            <w:r w:rsidR="0048078C" w:rsidRPr="003239E7">
              <w:rPr>
                <w:rFonts w:ascii="Arial" w:hAnsi="Arial" w:cs="Arial"/>
                <w:sz w:val="18"/>
                <w:szCs w:val="18"/>
              </w:rPr>
              <w:t xml:space="preserve"> must be offered testing. If the facility cannot support cohort staffing, full facility testing may be required. Consult SMDHU for direction.</w:t>
            </w:r>
          </w:p>
          <w:p w14:paraId="47722EFF" w14:textId="3BA1ECB4" w:rsidR="0048078C" w:rsidRPr="00DC4D98" w:rsidRDefault="00DC4D98" w:rsidP="00DC4D98">
            <w:pPr>
              <w:pStyle w:val="ListParagraph"/>
              <w:numPr>
                <w:ilvl w:val="0"/>
                <w:numId w:val="11"/>
              </w:num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Review: if help is required for swabbing, adequate supplies to test,</w:t>
            </w:r>
            <w:r w:rsidR="0048078C" w:rsidRPr="003239E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understanding of labelling/storage/requisition requirements,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and  lab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courier arrangements</w:t>
            </w:r>
          </w:p>
        </w:tc>
        <w:tc>
          <w:tcPr>
            <w:tcW w:w="1373" w:type="dxa"/>
            <w:shd w:val="clear" w:color="auto" w:fill="auto"/>
          </w:tcPr>
          <w:p w14:paraId="0281C4AE" w14:textId="77777777" w:rsidR="0048078C" w:rsidRPr="00727CC1" w:rsidRDefault="0048078C" w:rsidP="0048078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40"/>
        <w:tblOverlap w:val="never"/>
        <w:tblW w:w="11515" w:type="dxa"/>
        <w:tblLayout w:type="fixed"/>
        <w:tblLook w:val="04A0" w:firstRow="1" w:lastRow="0" w:firstColumn="1" w:lastColumn="0" w:noHBand="0" w:noVBand="1"/>
      </w:tblPr>
      <w:tblGrid>
        <w:gridCol w:w="452"/>
        <w:gridCol w:w="1128"/>
        <w:gridCol w:w="4175"/>
        <w:gridCol w:w="450"/>
        <w:gridCol w:w="1170"/>
        <w:gridCol w:w="3870"/>
        <w:gridCol w:w="270"/>
      </w:tblGrid>
      <w:tr w:rsidR="002F76C0" w14:paraId="018EA191" w14:textId="77777777" w:rsidTr="006900D7">
        <w:trPr>
          <w:trHeight w:hRule="exact" w:val="277"/>
        </w:trPr>
        <w:tc>
          <w:tcPr>
            <w:tcW w:w="452" w:type="dxa"/>
            <w:vMerge w:val="restart"/>
            <w:shd w:val="clear" w:color="auto" w:fill="D9D9D9" w:themeFill="background1" w:themeFillShade="D9"/>
            <w:textDirection w:val="btLr"/>
          </w:tcPr>
          <w:p w14:paraId="6F1CF780" w14:textId="77777777" w:rsidR="002F76C0" w:rsidRDefault="002F76C0" w:rsidP="006900D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Facility</w:t>
            </w:r>
          </w:p>
        </w:tc>
        <w:tc>
          <w:tcPr>
            <w:tcW w:w="1128" w:type="dxa"/>
            <w:tcBorders>
              <w:bottom w:val="nil"/>
              <w:right w:val="nil"/>
            </w:tcBorders>
            <w:vAlign w:val="bottom"/>
          </w:tcPr>
          <w:p w14:paraId="454FEBA7" w14:textId="77777777" w:rsidR="002F76C0" w:rsidRDefault="002F76C0" w:rsidP="006900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175" w:type="dxa"/>
            <w:tcBorders>
              <w:left w:val="nil"/>
              <w:bottom w:val="single" w:sz="4" w:space="0" w:color="auto"/>
              <w:right w:val="nil"/>
            </w:tcBorders>
          </w:tcPr>
          <w:p w14:paraId="26102CC7" w14:textId="77777777" w:rsidR="002F76C0" w:rsidRDefault="002F76C0" w:rsidP="006900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vMerge w:val="restart"/>
            <w:shd w:val="clear" w:color="auto" w:fill="D9D9D9" w:themeFill="background1" w:themeFillShade="D9"/>
            <w:textDirection w:val="btLr"/>
          </w:tcPr>
          <w:p w14:paraId="5592903B" w14:textId="77777777" w:rsidR="002F76C0" w:rsidRDefault="002F76C0" w:rsidP="006900D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SMDHU</w:t>
            </w:r>
          </w:p>
        </w:tc>
        <w:tc>
          <w:tcPr>
            <w:tcW w:w="1170" w:type="dxa"/>
            <w:tcBorders>
              <w:bottom w:val="nil"/>
              <w:right w:val="nil"/>
            </w:tcBorders>
            <w:vAlign w:val="bottom"/>
          </w:tcPr>
          <w:p w14:paraId="72B3FB47" w14:textId="77777777" w:rsidR="002F76C0" w:rsidRDefault="002F76C0" w:rsidP="006900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870" w:type="dxa"/>
            <w:tcBorders>
              <w:left w:val="nil"/>
              <w:bottom w:val="single" w:sz="4" w:space="0" w:color="auto"/>
              <w:right w:val="nil"/>
            </w:tcBorders>
          </w:tcPr>
          <w:p w14:paraId="7DBBB672" w14:textId="77777777" w:rsidR="002F76C0" w:rsidRDefault="002F76C0" w:rsidP="006900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bottom w:val="nil"/>
            </w:tcBorders>
          </w:tcPr>
          <w:p w14:paraId="255323BC" w14:textId="77777777" w:rsidR="002F76C0" w:rsidRDefault="002F76C0" w:rsidP="006900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6C0" w14:paraId="1623E699" w14:textId="77777777" w:rsidTr="006900D7">
        <w:trPr>
          <w:trHeight w:hRule="exact" w:val="78"/>
        </w:trPr>
        <w:tc>
          <w:tcPr>
            <w:tcW w:w="452" w:type="dxa"/>
            <w:vMerge/>
            <w:shd w:val="clear" w:color="auto" w:fill="D9D9D9" w:themeFill="background1" w:themeFillShade="D9"/>
          </w:tcPr>
          <w:p w14:paraId="57D8E8FA" w14:textId="77777777" w:rsidR="002F76C0" w:rsidRDefault="002F76C0" w:rsidP="006900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bottom w:val="nil"/>
              <w:right w:val="nil"/>
            </w:tcBorders>
            <w:vAlign w:val="bottom"/>
          </w:tcPr>
          <w:p w14:paraId="376EAC98" w14:textId="77777777" w:rsidR="002F76C0" w:rsidRDefault="002F76C0" w:rsidP="006900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5" w:type="dxa"/>
            <w:tcBorders>
              <w:left w:val="nil"/>
              <w:bottom w:val="nil"/>
              <w:right w:val="nil"/>
            </w:tcBorders>
          </w:tcPr>
          <w:p w14:paraId="2BE00622" w14:textId="77777777" w:rsidR="002F76C0" w:rsidRDefault="002F76C0" w:rsidP="006900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14:paraId="4C5801B2" w14:textId="77777777" w:rsidR="002F76C0" w:rsidRDefault="002F76C0" w:rsidP="006900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bottom w:val="nil"/>
              <w:right w:val="nil"/>
            </w:tcBorders>
            <w:vAlign w:val="bottom"/>
          </w:tcPr>
          <w:p w14:paraId="6745DE1B" w14:textId="77777777" w:rsidR="002F76C0" w:rsidRDefault="002F76C0" w:rsidP="006900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nil"/>
              <w:bottom w:val="nil"/>
              <w:right w:val="nil"/>
            </w:tcBorders>
          </w:tcPr>
          <w:p w14:paraId="7E66A6D8" w14:textId="77777777" w:rsidR="002F76C0" w:rsidRDefault="002F76C0" w:rsidP="006900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431BA208" w14:textId="77777777" w:rsidR="002F76C0" w:rsidRDefault="002F76C0" w:rsidP="006900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6C0" w14:paraId="1D01E201" w14:textId="77777777" w:rsidTr="006900D7">
        <w:trPr>
          <w:trHeight w:val="257"/>
        </w:trPr>
        <w:tc>
          <w:tcPr>
            <w:tcW w:w="452" w:type="dxa"/>
            <w:vMerge/>
            <w:shd w:val="clear" w:color="auto" w:fill="D9D9D9" w:themeFill="background1" w:themeFillShade="D9"/>
          </w:tcPr>
          <w:p w14:paraId="7A523F50" w14:textId="77777777" w:rsidR="002F76C0" w:rsidRDefault="002F76C0" w:rsidP="006900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bottom w:val="nil"/>
              <w:right w:val="nil"/>
            </w:tcBorders>
            <w:vAlign w:val="bottom"/>
          </w:tcPr>
          <w:p w14:paraId="4053E80F" w14:textId="77777777" w:rsidR="002F76C0" w:rsidRDefault="002F76C0" w:rsidP="006900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FA54FF" w14:textId="77777777" w:rsidR="002F76C0" w:rsidRDefault="002F76C0" w:rsidP="006900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14:paraId="379BBAC4" w14:textId="77777777" w:rsidR="002F76C0" w:rsidRDefault="002F76C0" w:rsidP="006900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bottom w:val="nil"/>
              <w:right w:val="nil"/>
            </w:tcBorders>
            <w:vAlign w:val="bottom"/>
          </w:tcPr>
          <w:p w14:paraId="6C58BC0E" w14:textId="77777777" w:rsidR="002F76C0" w:rsidRDefault="002F76C0" w:rsidP="006900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335089" w14:textId="77777777" w:rsidR="002F76C0" w:rsidRDefault="002F76C0" w:rsidP="006900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02A55D88" w14:textId="77777777" w:rsidR="002F76C0" w:rsidRDefault="002F76C0" w:rsidP="006900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6C0" w14:paraId="5F3E10C3" w14:textId="77777777" w:rsidTr="006900D7">
        <w:trPr>
          <w:trHeight w:hRule="exact" w:val="81"/>
        </w:trPr>
        <w:tc>
          <w:tcPr>
            <w:tcW w:w="452" w:type="dxa"/>
            <w:vMerge/>
            <w:shd w:val="clear" w:color="auto" w:fill="D9D9D9" w:themeFill="background1" w:themeFillShade="D9"/>
          </w:tcPr>
          <w:p w14:paraId="6C4811A9" w14:textId="77777777" w:rsidR="002F76C0" w:rsidRDefault="002F76C0" w:rsidP="006900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bottom w:val="nil"/>
              <w:right w:val="nil"/>
            </w:tcBorders>
            <w:vAlign w:val="bottom"/>
          </w:tcPr>
          <w:p w14:paraId="23DA7450" w14:textId="77777777" w:rsidR="002F76C0" w:rsidRDefault="002F76C0" w:rsidP="006900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5" w:type="dxa"/>
            <w:tcBorders>
              <w:left w:val="nil"/>
              <w:bottom w:val="nil"/>
              <w:right w:val="nil"/>
            </w:tcBorders>
          </w:tcPr>
          <w:p w14:paraId="0EACD48B" w14:textId="77777777" w:rsidR="002F76C0" w:rsidRDefault="002F76C0" w:rsidP="006900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14:paraId="176283CF" w14:textId="77777777" w:rsidR="002F76C0" w:rsidRDefault="002F76C0" w:rsidP="006900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bottom w:val="nil"/>
              <w:right w:val="nil"/>
            </w:tcBorders>
            <w:vAlign w:val="bottom"/>
          </w:tcPr>
          <w:p w14:paraId="39674F3A" w14:textId="77777777" w:rsidR="002F76C0" w:rsidRDefault="002F76C0" w:rsidP="006900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nil"/>
              <w:bottom w:val="nil"/>
              <w:right w:val="nil"/>
            </w:tcBorders>
          </w:tcPr>
          <w:p w14:paraId="4B57324C" w14:textId="77777777" w:rsidR="002F76C0" w:rsidRDefault="002F76C0" w:rsidP="006900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6B31595C" w14:textId="77777777" w:rsidR="002F76C0" w:rsidRDefault="002F76C0" w:rsidP="006900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6C0" w14:paraId="55F57684" w14:textId="77777777" w:rsidTr="006900D7">
        <w:trPr>
          <w:trHeight w:val="275"/>
        </w:trPr>
        <w:tc>
          <w:tcPr>
            <w:tcW w:w="452" w:type="dxa"/>
            <w:vMerge/>
            <w:shd w:val="clear" w:color="auto" w:fill="D9D9D9" w:themeFill="background1" w:themeFillShade="D9"/>
          </w:tcPr>
          <w:p w14:paraId="6B15E9DF" w14:textId="77777777" w:rsidR="002F76C0" w:rsidRDefault="002F76C0" w:rsidP="006900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bottom w:val="nil"/>
              <w:right w:val="nil"/>
            </w:tcBorders>
            <w:vAlign w:val="bottom"/>
          </w:tcPr>
          <w:p w14:paraId="42B9F278" w14:textId="77777777" w:rsidR="002F76C0" w:rsidRDefault="002F76C0" w:rsidP="006900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4175" w:type="dxa"/>
            <w:tcBorders>
              <w:top w:val="nil"/>
              <w:left w:val="nil"/>
              <w:right w:val="nil"/>
            </w:tcBorders>
          </w:tcPr>
          <w:p w14:paraId="7297B324" w14:textId="77777777" w:rsidR="002F76C0" w:rsidRDefault="002F76C0" w:rsidP="006900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14:paraId="40C06C35" w14:textId="77777777" w:rsidR="002F76C0" w:rsidRDefault="002F76C0" w:rsidP="006900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bottom w:val="nil"/>
              <w:right w:val="nil"/>
            </w:tcBorders>
            <w:vAlign w:val="bottom"/>
          </w:tcPr>
          <w:p w14:paraId="3103F81C" w14:textId="77777777" w:rsidR="002F76C0" w:rsidRDefault="002F76C0" w:rsidP="006900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870" w:type="dxa"/>
            <w:tcBorders>
              <w:top w:val="nil"/>
              <w:left w:val="nil"/>
              <w:right w:val="nil"/>
            </w:tcBorders>
          </w:tcPr>
          <w:p w14:paraId="00520F43" w14:textId="77777777" w:rsidR="002F76C0" w:rsidRDefault="002F76C0" w:rsidP="006900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67201C95" w14:textId="77777777" w:rsidR="002F76C0" w:rsidRDefault="002F76C0" w:rsidP="006900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6C0" w14:paraId="424E7A59" w14:textId="77777777" w:rsidTr="006900D7">
        <w:trPr>
          <w:trHeight w:val="78"/>
        </w:trPr>
        <w:tc>
          <w:tcPr>
            <w:tcW w:w="452" w:type="dxa"/>
            <w:vMerge/>
            <w:shd w:val="clear" w:color="auto" w:fill="D9D9D9" w:themeFill="background1" w:themeFillShade="D9"/>
          </w:tcPr>
          <w:p w14:paraId="44D08DE1" w14:textId="77777777" w:rsidR="002F76C0" w:rsidRDefault="002F76C0" w:rsidP="006900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3" w:type="dxa"/>
            <w:gridSpan w:val="2"/>
            <w:tcBorders>
              <w:top w:val="nil"/>
              <w:right w:val="nil"/>
            </w:tcBorders>
          </w:tcPr>
          <w:p w14:paraId="0FDFC81C" w14:textId="77777777" w:rsidR="002F76C0" w:rsidRDefault="002F76C0" w:rsidP="006900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Faxed to SMDHU: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231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0AF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00AF3">
              <w:rPr>
                <w:rFonts w:ascii="Arial" w:hAnsi="Arial" w:cs="Arial"/>
                <w:sz w:val="20"/>
                <w:szCs w:val="20"/>
              </w:rPr>
              <w:t xml:space="preserve"> Yes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6379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0A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00AF3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14:paraId="170C85B5" w14:textId="77777777" w:rsidR="002F76C0" w:rsidRDefault="002F76C0" w:rsidP="006900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tcBorders>
              <w:top w:val="nil"/>
              <w:right w:val="nil"/>
            </w:tcBorders>
          </w:tcPr>
          <w:p w14:paraId="567238AF" w14:textId="77777777" w:rsidR="002F76C0" w:rsidRDefault="002F76C0" w:rsidP="006900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Reviewed: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2240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0AF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00AF3">
              <w:rPr>
                <w:rFonts w:ascii="Arial" w:hAnsi="Arial" w:cs="Arial"/>
                <w:sz w:val="20"/>
                <w:szCs w:val="20"/>
              </w:rPr>
              <w:t xml:space="preserve"> Yes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6166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0A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00AF3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70" w:type="dxa"/>
            <w:tcBorders>
              <w:top w:val="nil"/>
              <w:left w:val="nil"/>
            </w:tcBorders>
          </w:tcPr>
          <w:p w14:paraId="76F579CC" w14:textId="77777777" w:rsidR="002F76C0" w:rsidRDefault="002F76C0" w:rsidP="006900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E3383F" w14:textId="77777777" w:rsidR="00727CC1" w:rsidRDefault="00727CC1" w:rsidP="00CB7D51"/>
    <w:sectPr w:rsidR="00727CC1" w:rsidSect="006B1F41">
      <w:headerReference w:type="default" r:id="rId11"/>
      <w:footerReference w:type="default" r:id="rId12"/>
      <w:pgSz w:w="12240" w:h="15840"/>
      <w:pgMar w:top="1170" w:right="1440" w:bottom="63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CF481" w14:textId="77777777" w:rsidR="00D564F5" w:rsidRDefault="00D564F5" w:rsidP="00D564F5">
      <w:r>
        <w:separator/>
      </w:r>
    </w:p>
  </w:endnote>
  <w:endnote w:type="continuationSeparator" w:id="0">
    <w:p w14:paraId="48EB5C9F" w14:textId="77777777" w:rsidR="00D564F5" w:rsidRDefault="00D564F5" w:rsidP="00D56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E9AF6" w14:textId="43B4963B" w:rsidR="004D7005" w:rsidRPr="004D7005" w:rsidRDefault="004D7005" w:rsidP="004D7005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Revised: </w:t>
    </w:r>
    <w:r w:rsidR="00AF73C8">
      <w:rPr>
        <w:rFonts w:ascii="Arial" w:hAnsi="Arial" w:cs="Arial"/>
        <w:sz w:val="16"/>
        <w:szCs w:val="16"/>
      </w:rPr>
      <w:t>July</w:t>
    </w:r>
    <w:r w:rsidR="003239E7">
      <w:rPr>
        <w:rFonts w:ascii="Arial" w:hAnsi="Arial" w:cs="Arial"/>
        <w:sz w:val="16"/>
        <w:szCs w:val="16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174DE" w14:textId="77777777" w:rsidR="00D564F5" w:rsidRDefault="00D564F5" w:rsidP="00D564F5">
      <w:r>
        <w:separator/>
      </w:r>
    </w:p>
  </w:footnote>
  <w:footnote w:type="continuationSeparator" w:id="0">
    <w:p w14:paraId="52217DFA" w14:textId="77777777" w:rsidR="00D564F5" w:rsidRDefault="00D564F5" w:rsidP="00D56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D2F71" w14:textId="77777777" w:rsidR="00D564F5" w:rsidRDefault="003256C2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228F29" wp14:editId="71DAE033">
              <wp:simplePos x="0" y="0"/>
              <wp:positionH relativeFrom="column">
                <wp:posOffset>4026535</wp:posOffset>
              </wp:positionH>
              <wp:positionV relativeFrom="paragraph">
                <wp:posOffset>179070</wp:posOffset>
              </wp:positionV>
              <wp:extent cx="2447925" cy="19050"/>
              <wp:effectExtent l="0" t="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44792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63B204" id="Straight Connector 2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7.05pt,14.1pt" to="509.8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" strokecolor="black [3200]" strokeweight=".5pt">
              <v:stroke joinstyle="miter"/>
            </v:line>
          </w:pict>
        </mc:Fallback>
      </mc:AlternateContent>
    </w: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74D7E93A" wp14:editId="1A1B5B12">
          <wp:simplePos x="0" y="0"/>
          <wp:positionH relativeFrom="column">
            <wp:posOffset>-640080</wp:posOffset>
          </wp:positionH>
          <wp:positionV relativeFrom="paragraph">
            <wp:posOffset>-297181</wp:posOffset>
          </wp:positionV>
          <wp:extent cx="1211580" cy="527951"/>
          <wp:effectExtent l="0" t="0" r="7620" b="5715"/>
          <wp:wrapNone/>
          <wp:docPr id="8" name="Picture 8" descr="SMHU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MHU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306" cy="5330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4129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8184E7" wp14:editId="51D450B5">
              <wp:simplePos x="0" y="0"/>
              <wp:positionH relativeFrom="column">
                <wp:posOffset>4019550</wp:posOffset>
              </wp:positionH>
              <wp:positionV relativeFrom="paragraph">
                <wp:posOffset>-123826</wp:posOffset>
              </wp:positionV>
              <wp:extent cx="2447925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4479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A1112A" id="Straight Connector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5pt,-9.75pt" to="509.25pt,-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" strokecolor="black [3200]" strokeweight=".5pt">
              <v:stroke joinstyle="miter"/>
            </v:line>
          </w:pict>
        </mc:Fallback>
      </mc:AlternateContent>
    </w:r>
    <w:r w:rsidR="00DA4129">
      <w:rPr>
        <w:noProof/>
        <w:lang w:val="en-CA" w:eastAsia="en-CA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92911D5" wp14:editId="179E0FAB">
              <wp:simplePos x="0" y="0"/>
              <wp:positionH relativeFrom="column">
                <wp:posOffset>2990850</wp:posOffset>
              </wp:positionH>
              <wp:positionV relativeFrom="paragraph">
                <wp:posOffset>-304800</wp:posOffset>
              </wp:positionV>
              <wp:extent cx="3676650" cy="1404620"/>
              <wp:effectExtent l="0" t="0" r="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CBCD31" w14:textId="77777777" w:rsidR="00DA4129" w:rsidRDefault="00DA4129" w:rsidP="00DA4129">
                          <w:r w:rsidRPr="00DA412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Outbreak #</w:t>
                          </w:r>
                          <w:r>
                            <w:t>:</w:t>
                          </w:r>
                          <w:r>
                            <w:br/>
                          </w:r>
                          <w:r w:rsidR="003256C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</w:r>
                          <w:r w:rsidRPr="00DA412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Facility Name</w:t>
                          </w:r>
                          <w:r>
                            <w:t xml:space="preserve">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2911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5.5pt;margin-top:-24pt;width:28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" stroked="f">
              <v:textbox style="mso-fit-shape-to-text:t">
                <w:txbxContent>
                  <w:p w14:paraId="25CBCD31" w14:textId="77777777" w:rsidR="00DA4129" w:rsidRDefault="00DA4129" w:rsidP="00DA4129">
                    <w:r w:rsidRPr="00DA4129">
                      <w:rPr>
                        <w:rFonts w:ascii="Arial" w:hAnsi="Arial" w:cs="Arial"/>
                        <w:sz w:val="20"/>
                        <w:szCs w:val="20"/>
                      </w:rPr>
                      <w:t>Outbreak #</w:t>
                    </w:r>
                    <w:r>
                      <w:t>:</w:t>
                    </w:r>
                    <w:r>
                      <w:br/>
                    </w:r>
                    <w:r w:rsidR="003256C2"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</w:r>
                    <w:r w:rsidRPr="00DA4129">
                      <w:rPr>
                        <w:rFonts w:ascii="Arial" w:hAnsi="Arial" w:cs="Arial"/>
                        <w:sz w:val="20"/>
                        <w:szCs w:val="20"/>
                      </w:rPr>
                      <w:t>Facility Name</w:t>
                    </w:r>
                    <w:r>
                      <w:t xml:space="preserve">: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2453"/>
    <w:multiLevelType w:val="hybridMultilevel"/>
    <w:tmpl w:val="18D6259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C2FB7"/>
    <w:multiLevelType w:val="hybridMultilevel"/>
    <w:tmpl w:val="08644A7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8F33F0"/>
    <w:multiLevelType w:val="hybridMultilevel"/>
    <w:tmpl w:val="65529A7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0665B1"/>
    <w:multiLevelType w:val="hybridMultilevel"/>
    <w:tmpl w:val="771256B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02021E"/>
    <w:multiLevelType w:val="hybridMultilevel"/>
    <w:tmpl w:val="EEB8B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F5F2C"/>
    <w:multiLevelType w:val="hybridMultilevel"/>
    <w:tmpl w:val="CAD01B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296E13"/>
    <w:multiLevelType w:val="hybridMultilevel"/>
    <w:tmpl w:val="F1E203B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834FFC"/>
    <w:multiLevelType w:val="hybridMultilevel"/>
    <w:tmpl w:val="2FD09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A17691"/>
    <w:multiLevelType w:val="hybridMultilevel"/>
    <w:tmpl w:val="BA0032B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645DF7"/>
    <w:multiLevelType w:val="hybridMultilevel"/>
    <w:tmpl w:val="44DC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829EC"/>
    <w:multiLevelType w:val="hybridMultilevel"/>
    <w:tmpl w:val="1E4224D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782E79"/>
    <w:multiLevelType w:val="hybridMultilevel"/>
    <w:tmpl w:val="05A6F36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89764A"/>
    <w:multiLevelType w:val="hybridMultilevel"/>
    <w:tmpl w:val="2DC692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040E2B"/>
    <w:multiLevelType w:val="hybridMultilevel"/>
    <w:tmpl w:val="C5CA5AF8"/>
    <w:lvl w:ilvl="0" w:tplc="495A51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3240004">
    <w:abstractNumId w:val="7"/>
  </w:num>
  <w:num w:numId="2" w16cid:durableId="136847759">
    <w:abstractNumId w:val="8"/>
  </w:num>
  <w:num w:numId="3" w16cid:durableId="1853182426">
    <w:abstractNumId w:val="6"/>
  </w:num>
  <w:num w:numId="4" w16cid:durableId="44530054">
    <w:abstractNumId w:val="11"/>
  </w:num>
  <w:num w:numId="5" w16cid:durableId="1868324054">
    <w:abstractNumId w:val="10"/>
  </w:num>
  <w:num w:numId="6" w16cid:durableId="1272198974">
    <w:abstractNumId w:val="0"/>
  </w:num>
  <w:num w:numId="7" w16cid:durableId="1898008062">
    <w:abstractNumId w:val="12"/>
  </w:num>
  <w:num w:numId="8" w16cid:durableId="1106923138">
    <w:abstractNumId w:val="1"/>
  </w:num>
  <w:num w:numId="9" w16cid:durableId="298389949">
    <w:abstractNumId w:val="2"/>
  </w:num>
  <w:num w:numId="10" w16cid:durableId="2143497144">
    <w:abstractNumId w:val="5"/>
  </w:num>
  <w:num w:numId="11" w16cid:durableId="1829973711">
    <w:abstractNumId w:val="3"/>
  </w:num>
  <w:num w:numId="12" w16cid:durableId="559488666">
    <w:abstractNumId w:val="13"/>
  </w:num>
  <w:num w:numId="13" w16cid:durableId="503591260">
    <w:abstractNumId w:val="9"/>
  </w:num>
  <w:num w:numId="14" w16cid:durableId="18334524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4F5"/>
    <w:rsid w:val="00002771"/>
    <w:rsid w:val="00057431"/>
    <w:rsid w:val="000864E6"/>
    <w:rsid w:val="000B416A"/>
    <w:rsid w:val="000D30E3"/>
    <w:rsid w:val="00105B33"/>
    <w:rsid w:val="00151B97"/>
    <w:rsid w:val="00167828"/>
    <w:rsid w:val="00175580"/>
    <w:rsid w:val="00181370"/>
    <w:rsid w:val="001D2D08"/>
    <w:rsid w:val="001F39F1"/>
    <w:rsid w:val="001F6FAC"/>
    <w:rsid w:val="00213782"/>
    <w:rsid w:val="00250C02"/>
    <w:rsid w:val="00276F70"/>
    <w:rsid w:val="00281924"/>
    <w:rsid w:val="002B0AA7"/>
    <w:rsid w:val="002F76C0"/>
    <w:rsid w:val="003239E7"/>
    <w:rsid w:val="003256C2"/>
    <w:rsid w:val="00325EBF"/>
    <w:rsid w:val="00350C04"/>
    <w:rsid w:val="00380A93"/>
    <w:rsid w:val="00385BDB"/>
    <w:rsid w:val="003B23CD"/>
    <w:rsid w:val="003B374B"/>
    <w:rsid w:val="00410C02"/>
    <w:rsid w:val="00446D1B"/>
    <w:rsid w:val="00451C29"/>
    <w:rsid w:val="00460605"/>
    <w:rsid w:val="004639BB"/>
    <w:rsid w:val="0048078C"/>
    <w:rsid w:val="004A005F"/>
    <w:rsid w:val="004A42CF"/>
    <w:rsid w:val="004C77EA"/>
    <w:rsid w:val="004D7005"/>
    <w:rsid w:val="00505D92"/>
    <w:rsid w:val="0052597D"/>
    <w:rsid w:val="00537D32"/>
    <w:rsid w:val="0055316C"/>
    <w:rsid w:val="00590B6D"/>
    <w:rsid w:val="005D0E64"/>
    <w:rsid w:val="00605A8E"/>
    <w:rsid w:val="006466AB"/>
    <w:rsid w:val="006554D1"/>
    <w:rsid w:val="00693EBB"/>
    <w:rsid w:val="006A2B62"/>
    <w:rsid w:val="006A5CCE"/>
    <w:rsid w:val="006B1F41"/>
    <w:rsid w:val="006F1A56"/>
    <w:rsid w:val="0070340A"/>
    <w:rsid w:val="00717E16"/>
    <w:rsid w:val="007230A7"/>
    <w:rsid w:val="00724C47"/>
    <w:rsid w:val="00727CC1"/>
    <w:rsid w:val="007319D4"/>
    <w:rsid w:val="00744642"/>
    <w:rsid w:val="007857EF"/>
    <w:rsid w:val="007A52EB"/>
    <w:rsid w:val="007C049F"/>
    <w:rsid w:val="007F7942"/>
    <w:rsid w:val="00826DD7"/>
    <w:rsid w:val="0086720C"/>
    <w:rsid w:val="00871A99"/>
    <w:rsid w:val="008777EF"/>
    <w:rsid w:val="00887787"/>
    <w:rsid w:val="008A0F20"/>
    <w:rsid w:val="009359FD"/>
    <w:rsid w:val="0094042A"/>
    <w:rsid w:val="00974251"/>
    <w:rsid w:val="009970C3"/>
    <w:rsid w:val="009C12FA"/>
    <w:rsid w:val="00A02A09"/>
    <w:rsid w:val="00A065F6"/>
    <w:rsid w:val="00A25B31"/>
    <w:rsid w:val="00AA6AFA"/>
    <w:rsid w:val="00AC3DBF"/>
    <w:rsid w:val="00AF73C8"/>
    <w:rsid w:val="00B66154"/>
    <w:rsid w:val="00B974E9"/>
    <w:rsid w:val="00C02091"/>
    <w:rsid w:val="00C07810"/>
    <w:rsid w:val="00C07E03"/>
    <w:rsid w:val="00C20675"/>
    <w:rsid w:val="00C41F58"/>
    <w:rsid w:val="00C64D32"/>
    <w:rsid w:val="00C7575A"/>
    <w:rsid w:val="00CB7D51"/>
    <w:rsid w:val="00CD5340"/>
    <w:rsid w:val="00CF38DC"/>
    <w:rsid w:val="00CF5C6B"/>
    <w:rsid w:val="00D07288"/>
    <w:rsid w:val="00D15EE1"/>
    <w:rsid w:val="00D20D66"/>
    <w:rsid w:val="00D564F5"/>
    <w:rsid w:val="00D72E6B"/>
    <w:rsid w:val="00D840AB"/>
    <w:rsid w:val="00DA4129"/>
    <w:rsid w:val="00DC4D98"/>
    <w:rsid w:val="00DF45D3"/>
    <w:rsid w:val="00E452DB"/>
    <w:rsid w:val="00E5274E"/>
    <w:rsid w:val="00E835B9"/>
    <w:rsid w:val="00EA67E9"/>
    <w:rsid w:val="00F55180"/>
    <w:rsid w:val="00F56100"/>
    <w:rsid w:val="00F8253D"/>
    <w:rsid w:val="00F850FC"/>
    <w:rsid w:val="00FC273D"/>
    <w:rsid w:val="00FC4363"/>
    <w:rsid w:val="00FD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37830915"/>
  <w15:chartTrackingRefBased/>
  <w15:docId w15:val="{DEF823F5-C901-4685-ABC2-C79A7425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4F5"/>
    <w:rPr>
      <w:color w:val="0563C1" w:themeColor="hyperlink"/>
      <w:u w:val="single"/>
    </w:rPr>
  </w:style>
  <w:style w:type="paragraph" w:customStyle="1" w:styleId="Default">
    <w:name w:val="Default"/>
    <w:rsid w:val="00D564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564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64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4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564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4F5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564F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1A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A99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F7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9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94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94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F794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794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D2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mcoemuskokahealth.org/docs/default-source/jfy-health-care-professionals/200419-covid_investigation_linelist.pdf?sfvrsn=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simcoemuskokahealth.org/docs/default-source/jfy-health-care-professionals/nsm-lhin-resp-gastro-outbreak161215-transfer-repatriation-guiding-document-no.pdf?sfvrsn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imcoemuskokahealth.org/docs/default-source/jfy-health-care-professionals/161013-omt-meeting-agenda-minutes-sept-2016.pdf?sfvrsn=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0CDD2-44AE-488C-BEAF-0E6DC625A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SMDHU</Company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Chafe, Colleen</dc:creator>
  <cp:keywords/>
  <dc:description/>
  <cp:lastModifiedBy>Peart, Bailey</cp:lastModifiedBy>
  <cp:revision>17</cp:revision>
  <cp:lastPrinted>2017-10-17T15:06:00Z</cp:lastPrinted>
  <dcterms:created xsi:type="dcterms:W3CDTF">2022-06-23T16:54:00Z</dcterms:created>
  <dcterms:modified xsi:type="dcterms:W3CDTF">2022-07-27T18:18:00Z</dcterms:modified>
</cp:coreProperties>
</file>